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3794-2012.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junio de 2012, la Procuradora de los Tribunales doña Ana Isabel Lobera Argüelles, en nombre y representación de don Rafael Díez Usabiaga, y bajo la dirección del Letrado don Iñigo Iruin Sanz, interpuso recurso de amparo contra la Sentencia de la Sala de lo Penal del Tribunal Supremo de 7 de mayo de 2012, recaída en el recurso de casación núm. 11773/1,1 que estimó parcialmente el recurso interpuesto contra la dictada el 16 de septiembre de 2011 por la Sección Cuarta de la Audiencia Nacional en el rollo de sala núm. 95-2009, que había condenado al actor como responsable en concepto de autor de un delito de pertenencia a organización terrorista, en grado de dirigente, a la pena de diez años de prisión, y modificó la cuantía de la pena privativa de libertad impuesta fijándola en seis años y seis meses como autor de la modalidad básica del delito de pertenencia o integración en organización terrorista prevista en el art. 571.2 del actual Código penal, excluyendo el grado de dirigente.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el recurrente solicitó la suspensión de la ejecución de la Sentencia dictada por la Sala de lo Penal del Tribunal Supremo en lo que respecta a la pena de seis años y seis meses de prisión, accesorias de inhabilitación especial para el ejercicio del derecho de sufragio pasivo e inhabilitación especial para empleo o cargo público, ambas por el tiempo de la condena, alegando la imposibilidad de reparación de los daños que para el derecho a la libertad del recurrente supondría la ejecución de la Sentencia que impediría, de serle otorgado el amparo, el restablecimiento en la integridad de su derecho y haría perder a aquél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6 de mayo de 2013,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21 de mayo de 2013, presentó alegaciones en las que, con cita de la doctrina de este Tribunal sobre el particular, interesó que se denegara la suspensión solicitada dado el tiempo total de duración de la pena de prisión impuesta al demandante, la lejanía del tiempo de cumplimiento definitivo (31 de agosto de 2017) y la trascendencia social del delito objeto de condena, y el estado del proceso constitucional, próximo a su terminación. En cuanto a las penas de inhabilitación especial para el ejercicio del derecho de sufragio pasivo e inhabilitación especial para empleo o cargo público sostiene que procede asimismo la denegación porque las penas accesorias deben seguir la suerte de la pena privativa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demandante de amparo no ha formulado alegaciones en plazo. Mediante escritos presentados en el Registro General de este Tribunal los días 24 y 27 de mayo de 2013 ha formulado una nueva solicitud de suspensión y ha interesado la acumulación de dicha petición a la ya iniciada, solicitando la concesión del plazo de tres días para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pieza cautelar consiste en determinar si procede la suspensión de la ejecución de la Sentencia recurrida, y para su examen debe tenerse en cuenta que el art. 56.2 de la Ley Orgánica del Tribunal Constitucional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mantenida por este Tribunal subraya que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12/2009, de 26 de enero; 1/2010, de 11 de enero, y 18/2011, de 28 de febrero,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12/2009, de 26 de enero; 112/2011, de 18 de julio).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 (ATC 44/2012, de 12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en relación con la suspensión de las penas privativas de libertad, este Tribunal ha venido utilizando como criterio de ponderación prioritario el de gravedad de la pena, aplicando de forma reiterada “como directriz inicial la de que la pena se sitúe por encima o por debajo de la frontera de los cinco años de prisión (AATC 16/2009, de 26 de enero; 18/2011, de 28 de febrero, FJ 2 y 61/2013, de 27 de febrero, FJ 2), que es la que le sirve al legislador penal para diferenciar entre las penas graves y las menos graves (art. 33 del Código penal)” (ATC 44/2012,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este criterio, el Tribunal ha venido considerando otras circunstancias relevantes, tales como,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 Este criterio es reiterado en el ATC 185/2012, de 15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conduce, como solicita el Ministerio Fiscal, a denegar la suspensión interesada en atención a la duración de la pena privativa de libertad impuesta —seis años y seis meses de prisión—, que se halla por encima del citado margen de gravedad con el que, como regla general, opera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anteriores pronunciamientos hemos venido manejando estos mismos criterios en cuanto a delitos relacionados con esta materia, en supuestos en los que se ha denegado la suspensión cuando faltaban por cumplir periodos inferiores, como en el caso del ATC 334/2004, de 13 de septiembre, en el que faltaban por cumplir dos años, por lo que no existen razones justificativas que alteren el criterio consolidado de la doctrina de este Tribunal en situaciones similares a la aquí contemplada.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es notorio que tampoco cabe acordar la suspensión del resto de los pronunciamientos de las resoluciones impugnadas al seguir las penas accesorias la misma suerte que la principal (AATC 131/2001, de 22 de mayo, FJ 2; 408/2005, de 21 de noviembre, FJ 2; y 80/2006, de 13 de marzo, FJ 2, entre otros), y por ser susceptibles de reparación los de contenido patrimonial (AATC 101/2012, de 21 de mayo, FJ 2; 126/2010, de 4 de octubre, FJ 2; y 59/2008, de 20 de febrero,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no procede acceder a la petición de acumulación de la nueva solicitud de suspensión a la solicitud que da lugar a este Auto, ni a la de conceder el plazo de tres días para alegaciones, teniendo en consideración que el régimen legal de las acumulaciones en los procesos ante el Tribunal Constitucional está regido en exclusiva por su Ley Orgánica y, en concreto, por su art. 83, sin que esta materia se incluya entre aquéllas en las que el art. 80 LOTC llama a la aplicación supletoria de la Ley Orgánica del Poder Judicial y la Ley de enjuiciamiento civil. Y que el art. 83 citado solo regula “la acumulación de aquellos procesos con objetos conexos que justifiquen la unidad de tramitación y decisión”, lo que no puede confundirse con la acumulación de incidentes distintos de un mismo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3794-2012.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