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2791-2013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solicitada por don Enol Suárez Martínez.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9 de mayo de 2013, don Enol Suárez Martínez interpuso recurso de amparo frente al Auto de la Sección Octava de la Audiencia Provincial de Asturias dictado en la ejecutoria núm. 67-2006.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Juzgado de Instrucción núm. 1 de Gijón se incoó el procedimiento abreviado núm. 130-2005, por delito contra la salud pública, contra el ahora demandante y otro imputado, cuyo enjuiciamiento correspondió a la Sección Octava de la Audiencia Provincial de Asturias, que, en fecha 17 de julio de 2006, dictó Sentencia en la que, entre otros pronunciamientos condenó a don Enol Suárez Martínez, como autor de un delito contra la salud pública, un delito de atentado y una falta de lesiones; por el delito contra la salud pública a la pena de tres años de prisión y multa de 951,25 €; por el delito de atentado a la pena de un año de prisión, inhabilitación para el derecho de sufragio durante el tiempo de la condena; y por la falta de lesiones la pena de un mes de multa, con una cuota diaria de 3 euros, debiendo indemnizar al agente policial lesionado en determinada cantidad por las lesiones sufridas con los intereses legales. Dicha Sentencia adquirió firmeza por Auto de fecha 27 de julio de 2006, incoándose la ejecutoria 67-2006.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 fecha 23 de noviembre de 2006, dictado por la Sección Octava de la Audiencia Provincial de Gijón, se concedió al señor Suárez Martínez la suspensión condicional por cuatro años de las penas de tres años y de un año de prisión impuestas en la causa, con la condición de que no volviese a delinquir en dicho plazo, resolución que le fue notificada el 7 de julio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 fecha 18 de julio de 2012, dictado por el mismo órgano judicial se acordó revocar la suspensión condicional de las penas impuestas al demandante, al constar en su hoja histórico-personal, que durante el tiempo de suspensión había sido condenado por Sentencia firme de 12 de enero de 2009 por delitos de lesiones, allanamiento de morada y coacciones cometidas el 29 de julio de 2008, amén de otras condenas posteriores por Sentencias firmes de 18 de enero de 2011, 28 de junio de 2011 y 30 de enero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fechado el 30 de enero de 2013, el recurrente solicitó a la Sala que se acordase la prescripción de las penas impuestas en aplicación de lo dispuesto en el art. 133 del  Código penal (CP), aduciendo en su apoyo la STC 97/2010. Dicha petición fue desestimada por Auto de fecha 20 de febrero de 2013, dictado por la Sección Octava de la Audiencia Provincial de Asturias con sede en Gijón. Dicho Auto fue recurrido en súplica por el penado, ahora demandante, siendo desestimado el recurso por Auto de fecha 18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9 de mayo de 2013, don Enol Suárez Martínez presentó demanda de amparo contra los Autos de 20 de febrero y 18 de marzo de 2013, por vulneración del derecho a la tutela judicial efectiva del art. 24.1, en relación con el derecho a la libertad art. 17.1 y a la legalidad penal del art. 25.1, todos ellos de la Constitución. Solicitaba la suspensión cautelar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21 de octubre de 2013, de la Sala Primera del Tribunal Constitucional acordó admitir a trámite el presente recurso de amparo; mediante providencia de igual fecha se acordó formar la correspondiente pieza separada de suspensión y de conformidad con el art. 56 de la Ley Orgánica del Tribunal Constitucional conceder un plazo común de tres días a la parte recurrente y al Ministerio Fiscal para que alegaran lo que estimaran pertinente en relación a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mediante escrito presentado el 28 de octubre de 2013, reitera su petición de que este Tribunal proceda a suspender el cumplimiento de la condena pendiente de ejecución ya que, en otro caso, el recurso de amparo perdería su finalidad, al ser irreparable el perjuicio sufrido; añadiendo que la suspensión solicitada no ocasiona una perturbación específica y grave del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5 de noviembre de 2013, el Ministerio Fiscal pide que se otorgue la suspensión solicitada. Considera que las penas privativas de libertad impuestas al ahora solicitante tienen una duración total de 4 años, lo que según anterior doctrina del Tribunal Constitucional se encuentra dentro de los límites para acceder a su suspensión dada su naturaleza de pena menos grave (art. 33 CP). Por otra parte dada la fecha en que sucedieron los hechos objeto de enjuiciamiento, el día 4 de julio de 2004, no parece concurrir ningún supuesto excepcional que desaconseje dicha suspensión, ni por la trascendencia social ni por posible desprotección de la víctima. En cambio, de no accederse a la suspensión, dado el tiempo que puede consumirse en la tramitación de un proceso como el presente, no cabe descartarse que los efectos del posible otorgamiento del amparo se tornasen en ilusorios al encontrarse parcial o totalmente extinguida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suspensión, de conformidad a la inconcusa doctrina de ese Tribunal debe extenderse a las penas inhabilitativas, accesorias, al deber seguir las mismas la suerte de la principal.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art. 56.1 de la Ley Orgánica del Tribunal Constitucional (LOTC) dispone que la interposición de un recurso de amparo no suspenderá los efectos del acto o Sentencia impugnados, concretando el art. 56.2 LOTC que podrá disponerse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ello se deriva, como regla general, que la admisión del amparo no conlleva la automática suspensión de la ejecución de los actos recurridos, ni siquiera en el supuesto expresamente previsto de la pérdida de finalidad del amparo, dado que la suspensión se condiciona a la no producción de perturbación grave de intereses constitucionalmente protegidos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mantenida por este Tribunal, en relación a la suspensión de las penas de prisión, se ha venido utilizando como criterio de ponderación prioritario el de gravedad de la pena, aplicando de forma reiterada como directriz inicial la de que la pena se sitúe por encima o por debajo de la frontera de los cinco años de prisión (AATC 16/2009, de 26 de enero, 18/2011, de 28 de febrero, FJ 2; y 61/2013, de 27 de febrero, FJ 2), que es la que le sirve al legislador penal para diferenciar entre las penas graves y las menos graves, art. 33 del Código penal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circunstancias todas ellas que expresan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ponderación que debe realizarse no puede limitarse a la duración de la pena privativa de libertad a la que el recurrente ha sido condenado; si fuera así, podría considerarse la suspensión cautelar de la misma. Sin embargo, como ha puesto de manifiesto el órgano judicial en las resoluciones impugnadas, la peculiaridad del presente supuesto reside en que al recurrente se la ha revocado la remisión condicional de dicha pena por haber delinquido, reiteradamente, durante el periodo de remisión. Esta circunstancia añade un importante elemento en la ponderación que este Tribunal debe realizar a la hora de decidir sobre la medida cautelar solicitada. El hecho de que el recurrente haya sido condenado por la comisión de otros delitos diferentes al castigado en el presente recurso de amparo, supone que, sin perjuicio de la duración de la pena cuya suspensión se pide, el interés general se pueda ver perjudicado si se accediere a la suspensión al haber mostrado el solicitante una conducta claramente antisocial.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solicitada por don Enol Suárez Martínez.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