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4293-2013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4293-2013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 núm. 4293-2013.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Constitucional el día 10 de julio de 2013, al que se acompaña testimonio del Auto de 4 de abril de 2013, dictado en el procedimiento abreviado núm. 242-2012, el Juzgado de lo Contencioso-Administrativo núm. 3 de Vitoria plantea cuestión de inconstitucionalidad en relación con el art. 67.2 a) del Real Decreto Legislativo 339/1990, de 2 de marzo, por el que se aprueba el texto articulado de la Ley de tráfico, circulación de vehículos a motor y seguridad vial, en la redacción dada por la Ley 18/2009, de 23 de noviembre, por posible vulneración del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cuestionado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perjuicio de lo dispuesto anteriormente, en la imposición de sanciones deberá tenerse en cuenta que: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multa por la infracción prevista en el art. 65.5 j) será el doble de la prevista para la infracción originaria que la motivó, si es infracción leve, y el triple, si es infracción grave o muy grave.”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65.5 j), por su parte, dispone:</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“Son infracciones muy graves, cuando no sean constitutivas de delito, las siguientes conductas: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El incumplimiento por el titular o el arrendatario del vehículo con el que se haya cometido la infracción de la obligación de identificar verazmente al conductor responsable de dicha infracción, cuando sean debidamente requeridos para ello en el plazo establecido. En el supuesto de las empresas de alquiler de vehículos sin conductor, la obligación de identificar se ajustará a las previsiones al respecto del art. 9 bis.”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cuestión de inconstitucionalidad planteada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Don Rafael Llavador Romero interpuso recurso contencioso-administrativo, seguido por el trámite del procedimiento abreviado, contra la resolución del Jefe provincial de Tráfico de Valladolid de 13 de abril de 2012, que desestimaba el recurso de reposición presentado frente a la resolución de 20 de febrero de 2012 del director del centro de tratamiento de denuncias automatizadas, que imponía al recurrente una sanción de 900 €. Esta última resolución fue dictada en el expediente sancionador número 47-945.142.539/0, tramitado por la infracción consistente en “no facilitar el titular o arrendatario del vehículo, debidamente requerido para ello, la identificación veraz del conductor del mismo en el momento de ser cometida una infracción”.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recurrente alegaba: i) que nunca recibió notificación fehaciente sobre la supuesta infracción y menos aún sobre el inicio del procedimiento sancionador; ii) que la vulneración de derechos fundamentales y la infracción de los principios que rigen la potestad sancionadora, las normas del procedimiento administrativo y los principios reguladores en materia de tráfico, circulación de vehículos a motor y seguridad vial, tuvieron lugar por la falta de audiencia en el expediente administrativo sancionador para la identificación del conductor del vehículo. Así, ni pudo conocerse la acusación formulada ni hubo oportunidad de defensa; garantías que no pueden entenderse subsanadas por la posibilidad de alegar, proponer y practicar prueba en el recurso contencioso-administrativo, ya que, conforme dispone el Tribunal Constitucional, rigen en el propio procedimiento administrativo sancionador; iii) que sufrió asimismo el principio de tipicidad, ligado indisolublemente con el principio de seguridad jurídica del art. 9.3 CE, pues se impuso una sanción por un hecho no constitutivo de infracción administrativa; iv) que, en su defecto, la graduación de la sanción no se corresponde con los criterios legales establecidos; v) que diversas previsiones normativas resultaron desatendidas: arts. 80 y 130 de la Ley 30/1992, de 26 noviembre, que establece que únicamente pueden ser sancionadas por hechos constitutivos de infracción administrativa las personas físicas y jurídicas que resulten responsables de los mismos; art. 69 del Real Decreto Legislativo 339/1990, de 2 marzo, que dispone que la responsabilidad por las infracciones recaerá directamente en el autor del hecho; y, asimismo, los arts. 12 y 13 del Real Decreto 320/1994, de 25 febrero, del Reglamento del procedimiento sancionador en materia de tráfico.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Juzgado de lo Contencioso-Administrativo núm. 3 de Vitoria, mediante providencia de 21 de febrero de 2013, acordó abrir el trámite previsto en el 35.2 de la Ley Orgánica del Tribunal Constitucional (LOTC), oyendo a las partes y al Ministerio Fiscal sobre la pertinencia de plantear cuestión de inconstitucionalidad acerca de la “Posible inconstitucionalidad del artículo 67.2 a) de la Ley de Tráfico circulación de vehículos a motor y seguridad vial (aprobada por Real Decreto Legislativo 339/1990, de 2 de marzo), según redacción dada por Ley 18/2009, de 23 de noviembre, que dispone: ‘La multa por la Infracción prevista en el artículo 65.5 j) será el doble de la prevista para la infracción originarla que la motivó, si es infracción leve, y el triple, si es infracción grave o muy grave’.” En consecuencia —añadía a la identificación la previsión legal cuestionada—, “el precepto transcrito establece una sanción económica para el titular del vehículo que varía en función de la acción (conducta) del autor de la infracción originaria que dio lugar a la primera denuncia (exceso de velocidad)”.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Abogacía del Estado se opuso al planteamiento de la cuestión de inconstitucionalidad, alegando que la providencia de 21 de febrero de 2013 no determinó ni siquiera relativamente el precepto o preceptos constitucionales cuya presunta vulneración motivaría la elevación de la cuestión a este Tribunal. No formulaba, por ello, alegaciones de fondo. El Ministerio Fiscal, en cambio, manifestó su conformidad con el planteamiento de la cuestión de inconstitucionalidad, al depender del precepto de referencia la solución del caso. La parte actora no formuló alegaciones.</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e) El 4 de abril de 2013, se dictó Auto promoviendo la cuestión de inconstitucionalidad. En relación con la objeción de la Abogacía del Estado, admitía el juzgador que en la providencia de 21 de febrero de 2013 no se concretó el precepto constitucional que se reputa infringido. Sin embargo, ese hecho no puede ser óbice para el planteamiento de la cuestión de inconstitucionalidad, al ser exigible dicha concreción en el Auto de planteamiento y no en la fase de audiencia previa a las partes. Por otro lado, añade, tratándose de una sanción de tráfico, únicamente podía estar a debate la adecuación constitucional del precepto al art.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Resalta que la sanción prevista en el artículo 67.2 a) por el incumplimiento del deber de identificar al conductor responsable de la infracción de tráfico se determina en la norma en función de la conducta del primer infractor, esto es, del que cometió la falta de conducción que dio origen a la apertura de expediente sancionador. Se olvida con ello, a su juicio, que concurren dos infracciones distintas, autónomas e independientes: la cometida por el conductor del vehículo y la que se imputa, por no colaborar con la Administración, al titular del vehículo. Considera “que esta forma de castigar al titular del vehículo, variable en función de la acción o la conducta del conductor no es ajustada al artículo 25.1 de la Constitución, por ser contraria a la idea o principio de responsabilidad/culpabilidad inherente al uso de la potestad sancionadora”.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incumplimiento del deber de identificar al conductor responsable es una omisión de una obligación que no admite graduación, pues incumple quien no identifica, sin que el grado o gravedad de la infracción cometida por el conductor deba influir o afectar en la determinación de la sanción cometida por el titular del vehículo que no procede a su identificación. El precepto, por consiguiente, es contrario al art. 25.1 CE, toda vez que “el castigo no puede variar en función de una conducta, una acción, o una culpabilidad que no pertenece al sancionado por no identificar al conductor, sino que es responsabilidad del conductor mismo. Siendo dos infracciones distintas y autónomas, el artículo castiga a un sujeto por la conducta del otro sujeto”.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previsión normativa cuestionada, prosigue después, dispone una sanción para el titular del vehículo del doble de la prevista para la infracción cometida por el conductor, e incluso del triple para los casos de infracciones graves y muy graves, suscitando también desde ese prisma dudas de constitucionalidad. El incumplimiento de un deber de colaborar con las autoridades administrativas de tráfico no puede ser sancionado con el triple que una infracción en el ejercicio de la conducción (una acción que por regla general afecta a la seguridad y al riesgo de la circulación).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resolución de 5 de noviembre de 2013, la Sección Cuarta de este Tribunal acordó oír al Fiscal General del Estado, a los efectos que determina el art. 37.1 LOTC, para que alegase lo que considerase conveniente acerca de la admisibilidad de la presente cuestión de inconstitucionalidad, en relación con el cumplimiento de los requisitos procesales exigidos por el art. 35.2 LOTC y por si fuere notoriamente infundada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23 de diciembre de 2013, el Fiscal General del Estado solicita la inadmisión de la cuestión de inconstitucionalidad por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Deficiencias esenciales en el trámite de la providencia de 21 de febrero de 2013, que  no identificó el precepto constitucional concernido. Esa circunstancia, a su criterio, tiene singular relevancia, particularmente porque el demandante, respecto de la infracción y sanción, aludía a numerosos artículos de la Constitución, no sólo el art. 25.1 CE, y en relación con este último, además, porque en él se integran plurales perspectivas (reserva de ley formal, material, analogía, tipicidad, taxatividad, non bis in ídem, proporcionalidad, etc.), de suerte que era necesario precisar la que constituía el fundamento de la duda de constitucionalidad. La circunstancia descrita, en suma, impidió que el trámite de audiencia cumpliese la finalidad que le es propia.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No concurre una adecuada formulación del juicio de relevancia, al no razonarse en qué medida la cuestión planteada en el proceso contencioso de origen requiere un pronunciamiento por parte del Tribunal Constitucional sobre el sistema de cuantificación de la sanción y su falta de proporcionalidad.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cuanto a la problemática de fondo, entiende que se cumplen los criterios de proporcionalidad y que el importe de la sanción pecuniaria por la infracción del art. 65.5 j) no se cuantifica en función de la actividad y la culpabilidad del conductor de la infracción originaria. Resulta, por el contrario, que su determinación responde al parámetro de cuantificación de ésta, sin que de ello se derive influencia alguna de la culpabilidad del conductor sobre la responsabilidad del titular del vehículo.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anterior, el Fiscal General del Estado solicita la inadmisión de la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de inconstitucionalidad planteada por el Juzgado de lo Contencioso-Administrativo núm. 3 de Vitoria, mediante Auto de 4 de abril de 2013, tiene por objeto el art. 67.2 a) del Real Decreto Legislativo 339/1990, de 2 de marzo, por el que se aprueba el texto articulado de la Ley sobre tráfico, circulación de vehículos a motor y seguridad vial, en la redacción dada por la Ley 18/2009, de 23 de noviembre, ante su posible contradicción con el 25.1 C. Tanto el precepto cuestionado como el art. 65.5 j) de la misma norma han sido transcritos en los antecedentes del presente Auto, no siendo necesario pues volver a reproducirlos.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se ha dejado constancia en los antecedentes de esta resolución, se opone a la admisión a trámite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Ciertamente, según lo dispuesto en el art. 37.1 de la Ley Orgánica del Tribunal Constitucional (LOTC), este Tribunal puede rechazar en trámite de admisión y mediante Auto aquellas cuestiones de inconstitucionalidad que no satisfagan los necesarios requisitos procesales, tal y como ocurre en el presente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puesto de manifiesto nuestra jurisprudencia que la importancia de la audiencia del art. 35.2 LOTC no puede minimizarse, reduciéndola a un simple trámite carente de más trascendencia que la de su obligatoria concesión, cualesquiera que sean los términos en los que ésta se acuerde. Por el contrario, resulta inexcusable que en él se identifiquen con precisión tanto los preceptos legales sobre cuya constitucionalidad se albergan dudas como las normas de la Constitución que se consideren vulneradas. A este respecto, la reciente STC 222/2012, de 27 de noviembre, FJ 3, recordaba la importancia que tienen esos defectos de identificación en el trámite de audiencia.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“Mayor relevancia indudablemente tiene la ausencia, en las providencias por las que se confirió trámite de alegaciones al Ministerio Fiscal y a la parte requirente, de toda referencia a precepto constitucional alguno que el promotor de la cuestión de inconstitucionalidad estime que haya podido quedar vulnerado por la disposición controvertida. Ciertamente y, de acuerdo con la jurisprudencia de este Tribunal, una omisión como la expuesta puede enervarse si de la redacción de la providencia cabe deducir los motivos que conducen al juzgador a dudar de la inconstitucionalidad de una norma: ‘la providencia por la que se otorgue el trámite de audiencia a las partes y al Ministerio Fiscal ha de especificar los preceptos legales cuestionados y los preceptos constitucionales que se consideren vulnerados, o bien, a falta de una cita concreta de los preceptos constitucionales supuestamente vulnerados, ha de identificar mínimamente la duda de constitucionalidad (indeterminación relativa) ante quienes han de ser oídos, para que sobre la misma puedan versar las alegaciones, exigiendo en todo caso tal indeterminación relativa que las partes hayan podido conocer el planteamiento de la inconstitucionalidad realizado por el órgano judicial y, atendiendo a las circunstancias del caso, situarlo en sus exactos términos constitucionales y pronunciarse sobre él. Finalmente es preciso que en el Auto de planteamiento de la cuestión no se introduzcan elementos nuevos que los sujetos interesados en el proceso no hayan podido previamente conocer ni, por ello, apreciar o impugnar su relevancia para el planteamiento de la cuestión, privándose así al órgano judicial de la opinión de aquéllos y no facilitándoles su reflexión sobre los mismos, pues ello es susceptible de desvirtuar el trámite de audiencia del art. 35.2 LOTC [por todas, SSTC 166/1986, de 19 de diciembre, FJ 4; 126/1997, de 3 de julio, FJ 4 a); 120/2000, de 10 de mayo, FJ 2; 224/2006, de 6 de julio, FJ 4; y 312/2006, de 8 de noviembre, FJ 2; y AATC 152/2000, de 13 de junio, 65/2001, de 27 de marzo, 199/2001, de 4 de julio, 3/2003, de 14 de enero, 29/2003, de 28 de enero, 367/2003, de 13 de noviembre, 60/2005, de 2 de febrero, 56/2006, de 15 de febrero, 135/2006, de 4 de abril, 164/2006, de 9 de mayo, y 173/2006, de 6 de junio, entre otros muchos]’ (STC 166/2007, de 4 de julio,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ese criterio de la indeterminación relativa hemos dado validez, por ejemplo, a providencias que, en el citado trámite de audiencia, no identificaban específicamente los preceptos constitucionales supuestamente vulnerados pero invocaban Sentencias de este Tribunal que permitieron a las partes conocer la cuestión debatida (así, STC 121/2010, de 29 de noviembre, FJ 4). Por la misma razón, en cambio, no hemos considerado ajustadas al debido trámite providencias que podían generar incertidumbre o incluso llevar a las partes a argumentar sobre previsiones constitucionales distintas a los invocadas posteriormente en el Auto de planteamiento (STC 222/2012, FJ 3); las que no identificaron mínimamente la duda de constitucionalidad que albergaba el órgano judicial o las que se conformaron con la mera remisión tácita al escrito de una de las partes en el proceso (STC 166/2007, de 4 de julio, FJ 6); como igualmente, cerrando esta breve lista de ejemplos, los supuestos en los que el órgano judicial se limita a poner de manifiesto la posible inconstitucionalidad por motivos que no precisa (STC 312/2006, de 8 de noviembre, FJ 3). En suma, se incumple el requisito cuando no se desprende con claridad de la providencia la concreta duda de constitucionalidad que motiva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ausencia en la providencia de 21 de febrero de 2013 de datos que permitieran conocer en qué específicos aspectos fundaba el promotor de la cuestión su iniciativa de planteamiento, incluso en qué preceptos constitucionales podía quedar la misma encuadrada, impidió a las partes situar el debate en sus términos exactos.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se reflejó en los antecedentes de esta resolución, parecería refrendar la conclusión anterior la manifestación contundente de la Abogacía del Estado en su escrito de alegaciones en el trámite, registrado en el Juzgado el día 14 de marzo de 2013. Cabe aludir, del mismo modo, a las alegaciones del Ministerio Fiscal, que no revelan que la indeterminación de la providencia fuera salvable, ya que su escrito no entró en el fondo de la cuestión ni citó siquiera el art. 25.1 CE. Finalmente, es también destacable que la parte actora no presentase alegaciones, hecho que en sí mismo ni acredita ni excluye la indeterminación indicada, pues pudo deberse simplemente a una conducta procesal pasiva, pero que no deja de ser llamativo si tenemos en cuenta la precariedad del proveído.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necesidad de insistir en esos elementos, procederá recordar que la providencia de 21 de febrero, además de identificar la norma cuestionada, afirmaba que “el precepto trascrito establece una sanción económica para el titular del vehículo que varía en función de la acción (conducta) del autor de la infracción originaria que dio lugar a la primera denuncia (exceso de velocidad)”, sin añadido alguno. De tal enunciado, como bien apunta el Fiscal General del Estado en el trámite de alegaciones ante este Tribunal, no podían inferirse las concretas dudas que asaltaban al juzgador desde el prisma del art. 25.1 CE, pues tal precepto integra diversos contenidos y garantías, no habiéndose señalado las específicamente comprometidas en opinión del juzgador hasta el Auto de planteamiento de la cuestión de inconstitucionalidad: proporcionalidad en la graduación de las sanciones; proporcionalidad de la sanción por la falta de colaboración con la Administración en contraste con la prevista para la infracción de tráfico de la que trae fuente; y, adicionalmente, principio de culpabilidad–responsabilidad por el hecho cometido por un tercero. Por lo demás, es prueba suplementaria de su insuficiencia que, formulada la providencia en los términos transcritos, podrían haberse situado las dudas de inconstitucionalidad en preceptos de la Constitución distintos a los contenidos en el Auto de 4 de abril (siquiera adicionalmente, en particular en el art. 14 CE, en tanto que aquélla se enunciaba en términos de contraste con otras situaciones, según cual fuera la infracción de tráfico cometida).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dijera nuestra STC 121/2010, de 29 de noviembre, es decisivo que las partes hayan podido conocer el planteamiento de inconstitucionalidad realizado por el órgano judicial, y, atendiendo a las circunstancias del caso, situarlo en sus exactos términos constitucionales y pronunciarse sobre él. Desde ese prisma y por lo hasta aquí razonado, procede la inadmisión a limine de la cuestión de inconstitucionalidad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 núm. 4293-2013.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