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5464-2012, promovido por don Jesús María Etxebarria Garaikotxea, representado por el Procurador de los Tribunales don Javier Cuevas Rivas, bajo la dirección de la Letrada doña Arantxa Aparicio Lopetegui, contra el Auto de la Sala de lo Penal del Tribunal Supremo de 21 de junio de 2012 y providencia de 7 de septiembre de 2012, por los que se acuerda no haber lugar a la admisión del recurso de casación núm. 10452-2012 interpuesto contra el Auto de la Sección Primera de la Sala de lo Penal de la Audiencia Nacional de 2 de febrero de 2012, dictado en la ejecutoria núm. 41-2006, sobre acumulación de penas y cómputo de abono de la prisión provisional.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Jesús María Etxebarria Garaikotxea, bajo la dirección de la Letrada doña Arantxa Aparicio Lopetegui, interpuso recurso de amparo contra las resoluciones que se citan en el encabezamiento, mediante escrito registrado el 26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Sentencia 7/2005, de 17 de febrero, dictada por la Sección Segunda de la Sala de lo Penal de la Audiencia Nacional en el rollo de Sala 2-2004 (procedente del sumario 2-2004 del Juzgado Central de Instrucción núm. 2), a diversas penas de prisión que totalizaban setenta y cuatro años, cuatro meses y quince días. En dicha Sentencia se hace constar que el ahora recurrente se hallaba en prisión provisional, en virtud de dicha causa, desde el Auto 21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fue condenado posteriormente en Sentencia 33/2006, de 6 de junio, dictada por la Sección Primera de la Sala de lo Penal de la Audiencia Nacional en el rollo de Sala 14-2005 (procedente del sumario 12-2002 del Juzgado Central de Instrucción núm. 6), a pena de dieciocho años de prisión. En dicha Sentencia se hace constar que el ahora recurrente se hallaba en prisión provisional, en virtud de dicha causa, desde el 18 de junio de 2003. Esta Sentencia fue declarada firme por Auto de 12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21 de marzo de 2011, el demandante solicitó la refundición de condenas y la práctica de liquidación de condena con abono de periodos de prisión provisional simultáneos al cumplimiento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por Auto de 2 de febrero de 2012, acordó en la ejecutoria núm. 41-2006 la acumulación de las condenas impuestas al demandante en tres causas previas, fijando en treinta años de prisión el límite máximo de cumplimiento de las penas privativas de libertad impuestas en las mismas, y computar doblemente el periodo comprendido entre el 29 de marzo de 2005 y el 12 de septiembre de 2006, de aplicación a ambas penas, sin afectar al límite máximo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interpuso recurso de casación, tramitado con el núm. 10425-2012 por la Sala de lo Penal del Tribunal Supremo, acordándose por Auto de 21 de junio de 2012 no haber lugar 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en que se fundamenta esta decisión es que “el Tribunal de instancia aplica doblemente el periodo de prisión preventiva sufrido por el recurrente a las causas acumuladas, por lo tanto, no infringe lo dispuesto por la jurisprudencia de esta Sala antes mencionada. No se infringe la doctrina jurisprudencial que considera que debe aplicarse el cómputo a ambas condenas. No existe una única condena a 30 años de prisión sobre la que debe aplicarse el periodo de prisión provisional sino varias condenas sobre las que debe aplicarse dicho periodo. La decisión de la Audiencia Nacional no infringe el art. 58 del Código Penal ni afecta al derecho a la libertad del penado porque conforme a la interpretación de los preceptos cuestionados, no existe una única pena acumulada de 30 años de prisión sobre la que aplicar la prisión provisional sufrida, sino varias penas a las que debe aplicarse la prisión provisional sufrida, teniendo en cuenta que el recurrente no podrá estar en prisión más allá de 30 años, el límite máximo que señala la resolución recurrida.” [razonamiento jurídico único,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presentado con fecha 27 de julio de 2012, la representación procesal del recurrente interpuso incidente de nulidad de actuaciones frente al citado Auto, que fue inadmitido por providencia de fecha 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se han vulnerado sus derechos a la libertad y seguridad (art. 17.1 CE) y a la tutela judicial efectiva (art. 24.1 CE) y considera que las resoluciones impugnadas han lesionado su derecho a la libertad (art. 17.1 CE), por denegar el abono del tiempo sufrido en prisión provisional en el periodo reclamado (desde el 29 de marzo de 2005 hasta el 12 de septiembre de 2006), en tanto se apartan de la jurisprudencia del Tribunal Constitucional establecida en la STC 57/2008, puesto que el penado tiene derecho a que se le liquiden las condenas que ha de cumplir y, por lo tanto, debe especificársele cuál es el período de prisión provisional que se le computa al recurrente a efectos de cumplimiento. De modo que puede solicitar una nueva liquidación de condena con el fin de saber el período de cumplimiento en que pudiera operar la referida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una vez determinada la procedencia de la práctica de una nueva liquidación de condena, procedería la aplicación de la doctrina referente al cómputo de las prisiones preventivas sufridas en simultaneidad con otras relativas al cumplimiento de penas impuestas, según los criterios vigentes al tiempo de aquellas pérdidas de libertad y alega, en apoyo de sus argumentos, distintas Sentencias del Tribunal Supremo y del Tribunal Constitucional, que consideran que aquel periodo de prisión provisional que aun coincidiendo con el cumplimiento de una pena que sufrió el reo, se trata de prisión computable por haber cumplido las funciones legalmente previstas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concluye reconociendo que el derecho a la libertad del recurrente ha resultado conculcado, porque mediante las resoluciones recurridas se actúa bajo la cobertura improcedente de la Ley, y se procede contra lo que la misma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noviembre de 2013,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28 de enero de 2014, acordó dar vista de las actuaciones al Ministerio Fiscal y a las partes personadas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alegaciones por escrito registrado el 28 de febrero de 2014 en el que reproduce su pretensión aduciendo que las resoluciones judiciales que se recurren vulneran el derecho fundamental del art. 17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10 de marzo de 2014, interesa que se otorgue el amparo al recurrente por la vulneración de su derecho a la libertad (art. 17.1 CE) y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la cuestión planteada se refiere al cómputo del abono de prisión provisional cuando hay una coincidencia de periodos de prisión preventiva y cumplimiento de pena y que, por tanto, resulta de aplicación la doctrina fijada en las SSTC 19/1999, 71/2000, y 57/2008, conforme a la cual carece de cobertura legal en la redacción entonces aplicable del art. 58.1 del Código penal (CP) la exclusión para el abono de la prisión provisional del período de tiempo en el que se simultaneen la situación de prisión provisional en una causa con la situación de penado en otra causa. En el caso examinado, habiendo quedado acreditado en las actuaciones que se ha excluido del cómputo del tiempo de abono el periodo en que el recurrente permaneció privado de libertad en la doble condición de penado y preventivo, el recurrente concluye que dicho periodo también tiene que ser doblemente computado ya que, de lo contrario el período de tiempo de prisión provisional coincidente con la situación de penado carecería de toda incidencia y relevancia en el cumplimiento de las penas, lo que vulnera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concluye que la decisión de que la liquidación de condena que eventualmente se practique solo tenga en cuenta los periodos de prisión preventiva a medida que se vayan cumpliendo las sucesivas penas, empezando por la más grave, conforme al art. 75 CP 1995 (art. 70 CP 1973), aunque ello comporte la eliminación de periodos de prisión preventiva sufrida y deducible, por tanto, la superación del límite de cumplimiento del art. 76 CP (art. 70.2 CP 1973), no efectuándose en la forma prevista por la ley y careciendo de cobertura legal, es contraria al derecho a la libertad y vulnera los art.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2014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al demandante en tres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los referidos derechos fundamentales, en los términos que han sido interpretados por la jurisprudencia del Tribunal Constitucional y por la Sala Segunda del Tribunal Supremo, por denegar el abono del tiempo sufrido en prisión provisional, pretendiendo su descuento del plazo máximo de cumplimiento fijado en el Auto de refundición de condenas. Concretamente, se pretende el cómputo del periodo comprendido entre el 29 de marzo de 2005 y el 12 de septiembre de 2006, por no haberle sido abonado el tiempo que permaneció en prisión preventiva simultáneamente con la condición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las resoluciones judiciales impugnadas han desconocido el derecho fundamental a la libertad personal del recurrente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nuestro enjuiciamiento se contrae a determinar si el derecho fundamental a la libertad del recurrente (art. 17.1 CE) y a la tutela judicial efectiva (art. 24.1 CE), han sido conculcados al no haberse deducido el periodo de prisión preventiva posterior a la firmeza de la primera condena (entre el 29 de marzo de 2005 y el 12 de septiembre de 2006) del límite máximo de cumplimiento de las condenas acumuladas (consistente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 y en la posterior STC 55/2014, de 10 de abril, Pleno, al resolver el recurso de amparo núm. 3650-2011.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el 29 de marzo de 2005 al 12 de septiembre de 2006,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resoluciones judiciales recurridas no han producido la alegada lesión de los derechos fundamentales invocados (arts. 17.1 y 24.1 CE), al no contravenir lo dispuesto en el 58.1 CP, ni quebrantar tampoco el fundamento y los fines que justifican la acumulación jurídica (art. 76 CP), lo cual nos lleva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Jesús María Etxebarria Garaikotxea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