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198-2013, promovido por don Javier Joaquín Gómez Herrero, representado por el Procurador de los Tribunales don Fernando Pérez Cruz y asistido por el Abogado don Alfonso Nieto Dunn’e, contra la Sentencia de 16 de mayo de 2012, dictada por la Sala Quinta del Tribunal Supremo en el rollo de casación núm. 101-44-2011, que estimó parcialmente el recurso de casación interpuesto contra la Sentencia de 22 de noviembre de 2010, dictada por el Tribunal Militar Territorial Primero en el sumario núm. 12-25-2009, así como contra el Auto de 9 de octubre de 2012, de la Sala Quinta del Tribunal Supremo que desestimó el incidente de nulidad de actuaciones. Han comparecido don Sergio Giner Martínez, representado por la Procuradora de los Tribunales doña Raquel Nieto Bolaño, y Segurcaixa Adeslas S.A. de Seguros y Reaseguros, representada por la Procuradora de los Tribunales doña Consuelo Rodríguez Chacón. Han intervenido el Abogado del Estado, en la representación que ostenta, y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enero de 2013, don Fernando Pérez Cruz, Procurador de los Tribunales, en nombre y representación de don Javier Joaquín Gómez Herrero, interpuso recurso de amparo contra las resoluciones judiciales indicadas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22 de noviembre de 2010, el Tribunal Militar Territorial Primero dictó Sentencia en el sumario núm. 12-25-09 instruido por el Juzgado Togado Militar Territorial núm. 12, en cuya virtud condenaba al acusado a la pena de cuatro años de prisión como autor de un delito contra la eficacia en el servicio (art. 159 del Código penal militar) y al abono de la cantidad de 12.494.657,25 €, en concepto de indemnización por los daños y perjuicios irrogados a la víctima —actual demandante de amparo—, a sus padres y a la compañía de seguros Adeslas, S.A. Solicitada aclaración, el mismo órgano judicial dicta Auto de 2 de marzo de 2011, añadiendo al fallo la declaración de responsabilidad civil subsidiaria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llegar a este fallo, el órgano judicial de instancia considera probado que, tras finalizar una clase en la Academia de Oficiales de la Guardia Civil, el acusado, olvidando que aún estaba cargada, oprimió el gatillo de su arma, impactando el proyectil en el demandante de amparo que en aquel momento pasaba por delante. A resultas de tan trágico accidente, el actor padece gran invalidez por falta absoluta de movilidad y gravísimas secuelas físicas, psicológicas y estéticas (daño emergente y daño moral). Igualmente, la Sentencia considera acreditado el lucro cesante, consistente en la diferencia económica entre la pensión que percibe y los haberes que habría obtenido de haber proseguido normalmente su carrera profesional. Por último, declara indemnizables los importantes trastornos psiquiátricos y psicológicos que, a raíz del trágico accidente, padecen los padres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las bases jurídico-valorativas para calcular la indemnización, el Tribunal Militar Territorial afirma expresamente que la cuantía que fija como indemnización de los daños y perjuicios causados resulta de la aplicación, para algunas partidas, del baremo fijado en el texto refundido de la Ley sobre responsabilidad civil y seguro en la circulación de vehículos a motor, aprobado por Real Decreto Legislativo 8/2004, de 29 de octubre, según los importes actualizados por la resolución de 31 de enero de 2010, de la Dirección General de Seguros y Fondo de Pensiones. Igualmente que los factores de corrección han sido tomados de la tabla IV de dicho baremo [FJ 5]. Del análisis de la resolución judicial de instancia se desprende que todas las partidas indemnizables, salvo las del daño emergente (237.054,99 €), gastos futuros (8.846.865,36 €) y lucro cesante (589.988,96 €), han sido calculadas con base en dichos baremos. Al margen del desglose que el órgano judicial realiza de estas tres partidas, respecto a las demás se afirma que “la utilización del Real Decreto Legislativo 8/2004, de 29 de octubre, contraído a los accidentes de circulación, debe admitirse al objeto de valorar las lesiones producidas por otras causas, como el accidente laboral (cfr. ATS de 17 de julio de 2008) o —en el caso que nos ocupa— por la imprudencia en el uso de las armas de fuego (cfr. STS de 25 de enero de 2010). Uso orientativo, pues no se escapa la particular gravedad de este último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gastos futuros el apartado F) de este mismo fundamento de derecho afirma: “8.846.865,36 euros como gastos necesarios futuros derivados directamente de las lesiones sufridas por el hecho enjuiciado. Lo que procede de capitalizar la cuantía de los gastos necesarios mensuales de ayuda a domicilio, médico-farmacéuticos”, aclarando que “se trata de un pedido que se articula como principal, frente a la pensión mensual sólo solicitada subsidiariamente, de manera que no se ve porque habría de darse prioridad respecto de lo instado en primer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fundamento de Derecho séptimo de la Sentencia de instancia afirma que “en lo concerniente a las responsabilidades civiles, se ha acogido en lo sustancial, y más allá de mínimos ajustes en el quantum, lo instado por esta parte [acusación particular], no sólo en cuanto al daño sufrido por el lesionado, sino también por el daño moral irrogado a sus padres, que se reclama por aquél en los términos del Auto de 27 de noviembre de 2008, por razón del vínculo de solidaridad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jurídica del Estado interpuso recurso de casación con base en los siguientes argumentos: 1) en aquellas partidas indemnizatorias que se han fijado con base expresamente en el sistema de valoración del baremo, éste no se ha respetado; 2) se han incluido en la indemnización por daños emergentes gastos de diversos informes médico-periciales; 3) se reconocen indemnizaciones cuya procedencia es desconocida o cuya inclusión carece de toda lógica; 4) no quedan concretados los miembros de la familia del lesionado a quienes se les debe reembolsar los gastos realizados en relación con el hecho enjuiciado; 5) no se ha resuelto acerca de la reducción del importe de indemnizaciones ya percibidas; 6) algunos documentos aportados carecen de datos suficientes que justifiquen la existencia de los gastos cuyo reintegro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de 16 de mayo de 2012, dictada por la Sala Quinta del Tribunal Supremo, estima parcialmente el recurso de casación interpuesto por el Abogado del Estado, casando y anulando la Sentencia de instancia únicamente en lo relativo a la cuantía derivada de la responsabilidad civil, que queda reducida a la suma de 1.808.563,49 €, correspondiendo 131.947,21 € a la compañía de seguros Adeslas, S.A., y, el resto, al actual demandante de amparo (1.612.868,2 €) y a sus padres (63.748,08 €).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decisión, la Sala Quinta del Tribunal Supremo comienza advirtiendo que es doctrina reiterada la de que en casación no sólo se revisan las indemnizaciones fijadas por la Sentencia de instancia cuando se comete una infracción del ordenamiento en la determinación de las bases tomadas para la fijación del quantum, sino también en los supuestos de error notorio, arbitrariedad o irrazonable desproporción de la cuantía fijada.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planteado en el recurso, entiende que el Tribunal inferior, en aquellas partidas en las que ha aplicado el baremo, ha incurrido en duplicidades o excesos incongruentes con la regla que el propio Tribunal a quo ha decidido seguir. Por el contrario, en aquellas otras en las que no toma como base dichos baremos (como es el caso del daño emergente y “otros gastos directamente derivados del hecho enjuiciado”), o bien no poseen la naturaleza indemnizatoria propuesta, o bien han sido ya integrados en otras partidas (daños directos). Por lo que se refiere a la partida de “gastos necesarios futuros derivados directamente de las lesiones sufridas por el hecho enjuiciado”, entiende la Sala casacional que, analizado su desglose, se observan de nuevo duplicidades de cuantías ya cubiertas en otros epígrafes. Otro tanto sucede con el apartado referente a la indemnización del lucro cesante, pues se trata de pérdidas de ingresos ya tenidos en cuenta en anteriores epígrafes. Por último, subraya que las indemnizaciones otorgadas a los padres del lesionado ya estaban contempladas en el apartado de “daño moral”, incurriéndose nuevamente en una duplicidad.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Notificada la anterior resolución, el demandante de amparo interpone incidente de nulidad de actuaciones, alegando la vulneración de sus derechos fundamentales a un Juez imparcial (art. 24.2 CE), a la integridad física (art. 15 CE), a la igualdad (art. 14 CE), a la tutela judicial efectiva (art. 24.1 CE), por error patente en la fundamentación de la Sentencia y por incongruencia omisiva y extra petita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9 de octubre de 2012, la Sala Quinta del Tribunal Supremo desestima el incidente de nulidad de actuaciones, dando respuesta a cada una de las vulneraciones de los derechos fundamentales que el actor imputa a la Sentencia de casación que, resumidamente, son los siguientes: 1) algunos de los motivos esgrimidos por el recurrente se han rechazado, porque esconden una pretensión de revisión de la Sentencia; 2) en los casos en los que la Sentencia de instancia expresamente dijo aplicar el baremo, lo hizo con errores y duplicidades. Por el contrario, en aquellas otras partidas indemnizatorias que cuantificó sin recurrir al baremo, la Sala ha revisado el quantum porque incluía conceptos ya calculados en otras partidas o porque la cuantía otorgada era desorbitada; 3) igualmente, subraya que la mayor parte de los motivos formulados en el incidente fueron ya invocados en casación, dándosele puntual respuesta, recordando a este respecto que el incidente no es una nueva instancia y que, aunque el recurrente discrepe de la solución dada por la Sentencia casacional, lo cierto es que las cuestiones han sido ya resueltas y su discrepancia no implica vulneración alguna de un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en primer lugar, la vulneración del derecho a la tutela judicial efectiva sin indefensión (art. 24.1 CE), por incurrir la Sentencia del Tribunal Supremo en errores patentes y motivación arbitraria e irrazonable. Aduce que la Sentencia de instancia aplicó el baremo como orientativo, sin someterse a él de forma plena como erróneamente ha entendido la Sentencia del Tribunal Supremo. Tal error ha inducido a la revisión de la indemnización, ocasionando con ello desigualdad en la aplicación de la ley (art. 14 CE), por cuanto que la misma Sala Quinta ha venido considerado en otros casos idénticos que el quantum indemnizatorio no es revisable. La Sentencia impugnada igualmente incurre en error patente, al confundir la tetraplejia que afecta al demandante de amparo con una tetraparesia. Tal error habría sido determinante toda vez que el Tribunal Supremo rebajó a 85 puntos (máximo previsto para la tetraparesia) los 100 que había reconocido la Sentencia de instancia (coincidentes con el máximo legal para la tetraplejia).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Tribunal Supremo ha vulnerado el derecho fundamental del demandante a la tutela judicial efectiva, en relación con el art. 15 CE, por la supresión de la cantidad concedida para gastos futuros médico-hospitalarios y de asistencia permanente. En particular, ha desconocido el punto primero 6 y 7 del anexo del Real Decreto Legislativo 8/2004, de 29 de octubre, conforme a los que procede satisfacer los gastos farmacéuticos y hospitalarios “hasta la sanación o consolidación de las secuelas” y asegurar la total indemnidad, teniendo en cuenta “la posible existencia de circunstancias excepcionales”. Con ello, se habría apartado de la doctrina de la STC 5/2006, de 16 de enero, sin tomar en consideración las necesidades vitales más elementales del demandante. Además, afirma que resulta contradictorio que la Sentencia haya suprimido la indemnización por gastos futuros y, al propio tiempo, admita la reparación de esos mismos gastos pero devengados. En este mismo orden de ideas, se aduce la lesión del derecho a la tutela judicial efectiva del recurrente, en relación con el art. 15 CE, al incurrir en incongruencia omisiva, pues la resolución no ha dado respuesta a la petición subsidiaria de pensión vitalicia mensual de 16.081,93 €, como sustitutiva de la cantidad alzada de 8.846.865,36 €.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imputa a la resolución impugnada la vulneración del derecho a la tutela judicial efectiva por incongruencia extra petita (art. 24.1 CE), así como por motivación irrazonable, al haber eliminado la partida indemnizatoria de los trastornos psiquiátricos y psicológicos padecidos por los padres del demandante, a quienes el Auto de 27 de septiembre de 2008 atribuyó legitimación para recurrir en virtud del principio de solidaridad. Considera que tales secuelas, pese a haber sido probadas, fueron inmotivadamente excluidas, cuando, además, tal supresión no fue tan siquiera solicitada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con la eliminación de la cantidad relativa al lucro cesante, por considerarla duplicada e incluida en las cantidades resultantes de aplicar los factores de corrección, también se ha vulnerado su derecho a la tutela judicial efectiva (art. 24.1 CE) y a la igualdad (art. 14 CE). El argumento de la Sentencia, en su opinión, contraviene el fundamento jurídico 17 de la STC 181/2000, de 29 de junio, impidiendo la reparación íntegra de los perjuicios causados. Cita, en apoyo de su pretensión, las SSTC 241/2000, 242/2000 y 244/2000, todas ellas de 16 de octubre; 267/2000, de 13 de noviembre; 21/2001, de 29 de enero; 37/2001, de 12 de febrero; 9/2002, de 15 de enero; 19/2002, de 28 de enero; 49/2002, de 25 de febrero y 102/2002, de 6 de mayo. Añade que, dicha supresión vulnera el principio de igualdad, pues la Sala Quinta del Tribunal Supremo, en Sentencia de 6 de marzo de 2005 reconoció como lucro cesante de algunos familiares las ganancias dejadas de percibir como consecuencia del fallecimiento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habría producido la vulneración del derecho al Juez imparcial (art. 24.2 CE), en tanto que un Magistrado del Tribunal Supremo debió abstenerse por haber intervenido, tomado conocimiento y manifestado opinión, en su calidad de Letrado asesor jurídico jefe de la asesoría jurídica de la Dirección General de la Guardia Civil, en el transcurso del procedimiento disciplinario que, sobre esos mismos hechos, instruyó la Guardia Civil. En tal sentido, subraya que dicho Magistrado suscribió un informe, en fecha 29 de mayo de 2006, en el que tras analizar los hechos propuso la no incoación de expediente disciplinario. Afirmaba entonces, entre otras consideraciones, que los hechos no podían calificarse de “especialmente ominosos o impropios de la condición militar”. A juicio de la parte actora, tal informe, además de infringir la normativa que obligaba, en todo caso, a instruir expediente, estaría dirigido esencialmente a velar por los intereses económicos del Estado, pues de abrirse expediente, el militar causante del accidente no podría ser declarado apto en el curso académico, siendo especialmente gravoso el gasto de formación que habría generado. Respecto a la posibilidad de recusación, subraya que no tuvo conocimiento de esa previa participación del Magistrado hasta que se notificó la Sentencia, siendo la propia víctima la que alertó de la posible coincidencia de uno de los miembros del Tribunal, al verificar un borroso pie de firma en el reverso de un informe de las actuaciones fotocopiado cuatro años antes, que había pasado desapercibido para la Fiscalía Militar y la Abogacía del Estado y que, en todo caso, era conocido por el Magistrado interviniente que emitió 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2013, la Sala Primera de este Tribunal acordó la admisión a trámite de la demanda de amparo y dirigir atenta comunicación al Juzgado Togado Militar Territorial núm. 12, a fin de que emplazara a las partes del procedimiento penal, a excepción del demandante de amparo, para que pudiesen comparecer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2013, se tuvieron por personados y parte en el presente proceso al Abogado del Estado, en la representación que ostenta, y a las Procuradoras de los Tribunales doña Consuelo Rodríguez Chacón, en nombre y representación de Segurcaixa Adeslas, S.A., de Seguros y Reaseguros, y doña Raquel Nieto Bolaño, en nombre y representación de don Sergio Giner Martínez. A tenor de lo dispuesto en el art. 52 de la Ley Orgánica del Tribunal Constitucional (LOTC), se acordó dar vista de todas las actuaciones a las partes personadas para que en el plazo de veinte días alegaran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de alegaciones, registrado en este Tribunal el 4 de septiembre de 2013, oponiéndose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demanda desarrolla alegaciones de legalidad ordinaria conectadas con cierta habilidad con los derechos fundamentales invocados. Aduce que el núcleo esencial de la cuestión planteada versa sobre los hechos que dieron lugar a la responsabilidad civil ex delicto y sobre la aplicación de las normas correspondientes, lo que conlleva a un debate carente de relevancia constitucional. Recuerda que sólo la concurrencia de un defecto formal o error material evidente, generador de indefensión, podrían invocarse como aspectos de legalidad constitucional, sin que el recurrente se haya visto impedido para alegar cuanto ha considerado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recurso de amparo carece de la necesaria trascendencia constitucional, pues, a pesar de “la triste situación que supone el resultado de una tetraplejia, de una persona que queda en situación de gran lesionado, ello, por desgracia, no constituye una nueva realidad en el seno de la sociedad humana”. El Abogado del Estado rechaza, del mismo modo, que este asunto sea novedoso, teniendo en cuenta la amplia experiencia en valoración de daños de nuestros tribunales y la existencia de normas que fijan indemnizaciones por gran invalidez inferiores a las previstas en el baremo de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tratarse de una cuestión de mera legalidad ordinaria, rechaza la concurrencia de una posible infracción del art. 15 CE, pues la mera apreciación de parte, al calificar de irrazonable o manifiestamente errónea la Sentencia casacional, no da lugar a esa deficiencia en sentido objetivo. Para que el error, supuestamente padecido por una resolución judicial, tenga alcance constitucional deben concurrir determinados presupuestos y la subsunción de los hechos en la norma constituye una labor propia de los tribunales, sin que al Tribunal Constitucional le corresponda la unificación doctrinal.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considera que constituye también una cuestión de legalidad ordinaria el enjuiciamiento acerca de si debió apreciarse o no una supuesta incompatibilidad, y consecuentemente el deber de abstención de un Magistrado de la Sala Quinta, en cuanto se trata de un aspecto que ya ha sido examinado por dicha Sala. Al propio tiempo afirma que la extemporaneidad del incidente fue consecuencia de su propia inactividad. Añade que, en todo caso, por el solo hecho de haber emitido un informe en vía administrativa y ser su contenido de “mera ordenación”, no concurren razones suficientes para declarar la pérdida de la imparcialidad. En este sentido, entiende que “son solo los actos inquisitivos frente a una persona determinada los que pueden predisponer al investigador que los realiza”. Concluye, pues, que la respuesta que se dio en el incidente de nulidad de actuaciones no puede tacharse de irrazonable, arbitraria o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tampoco se ha incurrido en incongruencia omisiva por haber apreciado duplicidad en la valoración de determinados conceptos indemnizatorios. Por el contrario, considera que la supresión del apartado relativo al lucro cesante, nada hurtó al debate procesal, como tampoco lo hizo la reducción de la cuantía sobre gastos futuros, en aplicación del baremo.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 la denunciada incongruencia extra petita en relación con la denegación de la indemnización a los padres por las secuelas psíquicas que padecen, al producirse una duplicidad indemnizatoria, pues el Tribunal Supremo ha resuelto una pretensión legítimamente expuesta en las alegaciones. La exclusión de la indemnización por lucro cesante está, a su juicio, igualmente justificada al encontrarse implícita en las cantidades resultantes de los factores de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de los invocados error patente, arbitrariedad e irrazonabilidad que se imputa a la resolución impugnada, ya que la utilización orientativa del baremo no puede entenderse como un uso indiscriminado e irracional del mismo, siendo imprescindible que el juzgador explique las razones por las que se aparta de los criterios exactos del baremo. Sobre este punto en concreto se indica que la Sentencia casacional no es contraria a la doctrina constitucional, dado que las bases del baremo deben tomarse como tope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principio de igualdad (art. 14 CE), el Abogado del Estado cuestiona que la STS de 15 de noviembre de 2000 pueda servir de término comparativo. A su vez, precisa que la STS de 28 de mayo de 2007 se refiere al pago de una indemnización de tres millones de euros y que las SSTC 5/2006 y 330/2006, al igual que la 181/2000, declaran la constitucionalidad del baremo de tráfico. Argumenta, además, que “no existe tampoco vulneración alguna del derecho a la igualdad reconocida por el art. 14 CE basada en la adopción de un criterio distinto al que eventualmente se hubiera aplicado en sentencias anteriores”, siempre que dicho proceder se justifique, como ocurre en la Sentencia. Concluye, respecto de esta vulneración, afirmando que la STS de 28 de mayo de 2007 es de la Sala Segunda, lo que impide entender que existió la vulneración invocada al faltar la identidad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4 de septiembre de 2013, el Fiscal presentó sus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a las alegaciones del demandante, el Ministerio Fiscal advierte que el orden del examen de las quejas es indiferente, habida cuenta de que cualquiera de las lesiones tendría como consecuencia la anulación de la Sentencia y del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examina, en primer lugar, la eventual vulneración del derecho a un Juez imparcial, con cita de Sentencias del Tribunal Europeo de Derechos Humanos y del Tribunal Constitucional, e indica que concurren razones procesales y de fondo para rechazar la vulneración invocada. Sobre este particular, sostiene que, pese a serle notificada la composición de la Sala en la que figuraba el Magistrado al que le atribuye la causa de abstención, no lo recusó, lo que supone el incumplimiento de los requisitos de invocación [art. 44.1 c) LOTC] y de agotamiento de la vía jurisdiccional ordinaria [art. 44.1 a) LOTC]. Alega que tampoco existió actividad contaminante por la sugerencia de paralización del proceso disciplinario, de obligado cumplimiento cuando se está incoando simultáneamente un proceso penal. Afirma que fue una toma de contacto neutra en cuanto al fondo no teniendo incidencia en el proceso ulterior, por tratarse de una actividad de pura ordenación, sin que significara una toma de postura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a analizar la vulneración del derecho a la tutela judicial efectiva (art. 24.1 CE), invocada en cinco de las quejas, sea por motivación irrazonable o por error patente. Deslinda el error patente, así como la falta de motivación, de la mera discrepancia en cuanto al fondo. Entiende que la revisión de las cuantías indemnizatorias, efectuada por el Tribunal Supremo, se sostiene en una sólida argumentación, que cumple con las exigencias del derecho a la tutela judicial efectiva, dado los principios del baremo “al que dijo someterse el Tribunal de instancia” y, aunque reconoce que la Sentencia incurre en error cuando se refiere a la tetraparesia en lugar de la tetraplejia, considera que el mismo es irrelevante al operar el límite de 100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reducción y/o supresión de algunas partidas indemnizatorias realizadas por la Sentencia de casación, indicando su razonabilidad, pues la Sentencia de instancia no se sujetó a los límites marcados por el baremo, incurriendo además en falta de motivación y, en ocasiones, duplicando partidas ya cuantificadas. En apoyo de este argumento afirma que “de otro lado y llegados a este punto habrá que decir que los supuestos en los que la STC 181/2000 permite un cálculo de la cantidad y una pretensión indemnizatoria al margen de las cifras del anexo correspondiente, no por ello se autoriza u obliga al Tribunal a conceder las reclamadas en tanto en cuanto tal inconstitucionalidad declarada no puede limitar las facultades del Tribunal para la valoración de la prueba presentada y cuantificación del lucro cesante … Lo mismo se podría decir y a la sentencia nos remitimos con las cantidades referidas a indemnización a los padres del perjudicado y a la cantidad separadamente exigida de 589.988,96 €”.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incongruencia omisiva denunciada por la falta de respuesta a la petición subsidiaria de una pensión vitalicia, entiende que no se desatendieron las pretensiones formuladas en el proceso, pues al reducirse la cuantía solicitada como principal, no tenía por qué pronunciarse sobre la petición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tampoco concurre la vulneración del derecho a la vida e integridad física (art. 15 CE), pues la STC 181/2000 descartó que las valoraciones y la cuantificación del baremo fueran contrarias al art. 15 CE. No comparte tampoco que exista la vulneración del derecho a la igualdad (art. 14 CE), en tanto que la Sentencia impugnada ha aplicado el sistema del baremo, lo que no sucede en las resoluciones mencionadas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31 de julio de 2013, presentó sus alegaciones, reiterando las contenidas en su demanda de amparo. Las representaciones de don Sergio Giner Martínez y de Segurcaixa Adeslas, S.A., de Seguros y Reaseguros no presentaron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2014 se señaló para deliberación y votación de la presente Sentencia el día 3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solicita amparo respecto de la Sentencia de la Sala Quinta del Tribunal Supremo, de fecha de 16 de mayo de 2012, que estimó parcialmente el recurso de casación interpuesto por el Abogado del Estado, casando y anulando la Sentencia de instancia, únicamente en lo que se refiere a la cuantía debida en concepto de responsabilidad civil y que reduce a la suma de 1.808.563,49 €. Impugna, igualmente, el Auto del mismo órgano judicial, de 9 de octubre de 2012,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hecho de esta Sentencia, la demanda contiene una pluralidad de quejas. Para darles cumplida y sistemática respuesta procederemos a ordenar y agrupar las mismas en función, no de las concretas partidas indemnizatorias reducidas o suprimidas por la resolución impugnada —que es el criterio utilizado por el demandante—, sino del derecho fundamental implicado y del modo en que el órgano judicial lo habría vulnerado. Siguiendo esta pauta sistemática, la Sala Quinta del Tribunal Supremo habría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(art. 24.2 CE), por intervenir en el proceso un Magistrado que, en el procedimiento disciplinario, actuó como Letrado asesor jurídico jefe de la Dirección General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fundamental a la tutela judicial efectiva (art. 24.1 CE), por incurrir en error patente al haber empleado el sistema legal de valoración incluido en el anexo del Real Decreto Legislativo 8/2004 (texto refundido de la Ley sobre responsabilidad civil y seguro en la circulación de vehículos a motor y ciclomotores) fuera de su estricto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fundamental a la igualdad en la aplicación de la ley (art. 14 CE), porque en casos similares ha excluido la utilización del baremo como parámetro de control casacional de las indemnizaciones fijadas por el órgano judicial de instancia y por reconocer la posibilidad de reparar el lucro cesante, incluso en casación, mediante las reglas del sistema legal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fundamental a la tutela judicial efectiva (art. 24.1 CE), en relación con el derecho fundamental a la integridad física (art. 15 CE), por el modo en que ha aplicado el señalado baremo. Aplicación que está lastrada de interpretaciones arbitrarias y manifiestamente irrazonables, así como por incurrir en errores fácticos patentes que han conducido al órgano judicial a entender injustificadamente que el baremo imponía la supresión o reducción de varias partidas indemnizatorias.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fundamental a una resolución judicial congruente con las pretensiones de las partes (art. 24.1 CE), por dejar de resolver la petición del otorgamiento subsidiario de una pensión vitalicia (incongruencia ex silentio) y eliminar partidas indemnizatorias reconocidas por la Sentencia de instancia sin que fuesen impugnadas por el Abogado del Estado (incongruencia extra petita).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el Abogado del Estado solicitan la desestimación del recurso de amparo. Sustancialmente, indican que la denuncia del derecho a un Juez imparcial fue extemporánea al encontrarse incursa en falta de invocación por no plantear el incidente de recusación una vez conocida la composición de la Sala. Consideran, además, que el recurso de amparo se refiere, en realidad, a una cuestión de interpretación no irrazonable de la legalidad ordinaria, sin que se aprecien errores patentes, incongruencias, ni contradicciones con la doctrina constitucional, ni con las decisiones anteriores de la misma Sala citadas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además, que la demanda de amparo carece de especial trascendencia constitucional. Reproche sobre el que conviene que precisemos, desde ahora mismo, que no sólo el recurrente ha cumplido la carga de justificar esta especial trascendencia, sino que, en todo caso, este Tribunal ya ha valorado el interés del asunto durante el trámite de admisión de la demanda de amparo (STC 212/2013, de 16 de diciembre, FJ 2), siendo éste el momento procesal idóneo para apreciar o descartar la concurrencia del indicado requisito (SSTC 126/2013, de 3 de junio, FJ 2 y 191/2013, de 18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Abordamos, en primer lugar, la vulneración denunciada del derecho a la imparcialidad judicial (art. 24.2 CE), pues su eventual estimación comportaría la retroacción de actuaciones, haciendo innecesario nuestro pronunciamiento sobre las quejas restantes (por todas, SSTC 307/1993, de 25 de febrero, FJ 1; 116/1997, de 27 de junio, FJ 1; 31/2001, de 12 de febrero, FJ 2, y 100/2004, de 2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constituye una garantía fundamental de la Administración de Justicia en un Estado de Derecho que condiciona su existencia misma. Sin juez imparcial no hay, propiamente, proceso jurisdiccional, siendo la recusación el instrumento legal establecido para preservarlo, constituyendo en sí mismo un derecho fundamental integrado en el más amplio derecho a un proceso público con todas las garantías (art. 24.2 CE). Por eso, la privación de la posibilidad de ejercer la recusación implica la restricción de una garantía esencial establecida legalmente con el fin de salvaguardar la imparcialidad que la Constitución impone al juzgador (STC 205/2013, de 5 de diciembre, FJ 2). Ahora bien, establecido lo anterior, debemos recordar que no cabe apreciar la lesión de este derecho si el recurrente tuvo ocasión de plantear tempestivamente la recusación y no lo hizo (por todas, SSTC 140/2004, de 13 de septiembre, FJ 4; 28/2007, de 12 de febrero, FJ 3, y 60/2008, de 5 de diciembre, FJ 2). Tampoco pueden suplir la omisión de la recusación los posteriores recursos contra la resolución de fondo, pues si ello fuera posible se conculcarían los derechos de las demás partes que, habiendo obtenido una resolución favorable, se verían privadas de ella por una causa que, pudiendo ser corregida durante el proceso, no fue alegada hasta conocerse su resultado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hechos acreditados conducen a afirmar que, antes de que se le notificara la Sentencia, el recurrente tuvo oportunidad de conocer la intervención del Magistrado al que atribuye la causa de abstención. Así, no sólo le fue notificada la providencia de 16 de enero de 2012 que informaba de la composición de la Sala y la fecha de la deliberación, votación y fallo, sino que posteriormente se le notificó el Auto de 20 de marzo de 2012, que prorrogaba por treinta días hábiles el término ordinario para dictar Sentencia y, pese a ello, no ejercitó la recusación. Fue sólo con ocasión de la interposición del incidente de nulidad de actuaciones, promovido contra la Sentencia de la Sala Quinta del Tribunal Supremo, cuando invocó por primera vez la vulneración del derecho al juez imparcial. Esta queja fue desestimada, al entender dicho órgano judicial que la composición del Tribunal de casación había sido debidamente notificada y, por consiguiente, no se ejerció tempestivamente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expuesto, debemos compartir el criterio del Ministerio Fiscal y el Abogado del Estado y excluir el examen de la vulneración denunciada, pues el recurrente no ejerció su derecho a recusar tan pronto como tuvo conocimiento de la composición de la Sala. Esta incurre, por tanto, en el óbice de falta de invocación tempestiva en la vía judicial del derecho constitucional que se dice vulnerado [art. 44.1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ahora analizar si la Sala de lo Militar del Tribunal Supremo lesionó o no el derecho fundamental a la tutela judicial efectiva del recurrente (art. 24.1 CE), por incurrir en un error patente al aplicar en casación el sistema legal de valoración fuera de su estricto ámbito de aplicación (daños no dolosos en la circulación de vehículos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según ha venido declarando este Tribunal, el derecho a la tutela judicial efectiva (art. 24.1 CE) incluye el derecho a obtener de los órganos judiciales una respuesta razonada, motivada, fundada en Derecho y congruente con las pretensiones oportunamente deducidas por las partes. La motivación de las Sentencias está expresamente prevista en el art. 120.3 CE y es, además, una exigencia del derecho a la tutela judicial efectiva (art. 24.1 CE) porque permite conocer las razones de la decisión que dichas resoluciones contienen y posibilita su control mediante el sistema de los recursos (entre otras, SSTC 20/1982, de 5 de mayo, FJ 1; 146/1995, de 16 de octubre, FJ 2; 108/2001, de 23 de abril, FJ 2; 42/2006, de 13 de febrero, FJ 7; 57/2007, de 12 de marzo, FJ 2). Esta exigencia constitucional entronca con una concepción de la legitimidad de la función jurisdiccional sustentada esencialmente en el carácter vinculante que para todo órgano judicial tienen la ley y la Constitución (SSTC 55/1987, de 13 de mayo, FJ 1; 203/1997, de 25 de noviembre, FJ 3; 115/2006, de 24 de abril, FJ 5). Además, no debe olvidarse que la razón última que sustenta este deber de motivación, en tanto que obligación de exteriorizar el fundamento de la decisión, reside en la interdicción de la arbitrariedad y la necesidad de evidenciar que el fallo de la resolución no es un simple y arbitrario acto de voluntad del juzgador, sino una decisión razonada en términos de Derecho (SSTC 24/1990, de 15 de febrero, FJ 4, 35/2002, de 11 de febrero, FJ 3; 42/2004, de 23 de marzo, FJ 4; 331/2006, de 20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Íntimamente conectado con lo anterior, hay que recordar que en numerosas ocasiones hemos afirmado que el error en una resolución judicial, entendido como consideración del juzgador no acorde con la realidad, solo tiene relevancia constitucional cuando se trata “de un error determinante de la decisión adoptada, atribuible al órgano judicial, predominantemente fáctico e inmediatamente verificable de forma incontrovertible a partir de las actuaciones judiciales, y que despliegue efectos negativos en la esfera del justiciable” (por todas, STC 47/2009, de 23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refiriéndonos en concreto a la motivación de las decisiones que fijan la cuantía indemnizatoria en aras de la reparación de un derecho fundamental vulnerado, hemos dicho que, aunque la determinación del quantum indemnizatorio es cuestión que pertenece al ámbito de la legalidad ordinaria (STC 42/2003, de 3 de marzo, FJ 10), sin que pueda este Tribunal suplantar al órgano judicial competente en la labor de su determinación (SSTC 115/2000, de 5 de mayo, FJ 11, y 127/2003, de 30 de junio, FJ 10), sí que nos corresponde controlar la suficiencia de la motivación de tal decisión, desde la perspectiva del art. 24.1 CE. En ese sentido, los órganos judiciales han de tener especialmente en cuenta los datos determinantes del alcance de la lesión del derecho que hayan resultado acreditados en el procedimiento, así como los criterios legales establecidos para valorar el daño moral producido por la intromisión ilegítima declarada (SSTC 186/2001, de 17 de septiembre, FJ 6, y 300/2006, de 23 de octubre, FJ 4; ATC 363/2006,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la resolución de la Sala Quinta del Tribunal Supremo declara que la indemnización otorgada en la instancia, a pesar de la sobresaliente gravedad de la lesión sufrida por el demandante de amparo, ha incurrido en errores obvios y también en desproporción. En este sentido, hay que advertir que la Sentencia de casación impugnada no discute la concurrencia de cada uno de los daños que el Tribunal de instancia tiene por probados. Tampoco que tales perjuicios se produjeran por accidente con arma de fuego y, por tanto, fuera del contexto del tráfico rodado. Lo que afirma es que, dado que el Tribunal a quo ha optado por aplicar el sistema legal para la cuantificación del daño circulatorio, asumiéndolo como base jurídico-valorativa para fijar las indemnizaciones, debe hacerlo correctamente y, por ello, conforme a su propia doctrina, ha contrastado las indemnizaciones fijadas por el órgano de instancia con las que resultan de aplicar el sistema legal valorativo, eliminando todas aquellas partidas que entiende que no se corresponden con las previsiones de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debemos hacer hincapié en la idea de que el hecho de que dos tribunales, el de instancia y el de casación, hayan alcanzado resultados distintos respecto a las cuestiones indemnizatorias planteadas en el pleito no tiene necesariamente que significar que alguno de ellos haya incurrido en arbitrariedad, error patente, irrazonabilidad o que su resolución carezca de la debida motivación. En los términos expresados anteriormente, y en la medida en que las resoluciones judiciales aparezcan suficientemente motivadas, no cabe revisar en esta sede constitucional la valoración de los órganos judiciales sobre la gravedad e intensidad de la lesión sufrida por el actor en sus derechos fundamentales, pues “la fijación de una u otra cuantía indemnizatoria no es susceptible de convertirse en objeto de vulneración autónoma de los derechos fundamentales” (STC 186/2001, de 17 de septiembre, FJ 7), en este caso del derecho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reconoce el propio demandante, es jurisprudencia constante del Tribunal Supremo, en supuestos de accidentes que no sean de vehículo a motor, la de que los jueces y tribunales no están vinculados por el baremo. Sin embargo, teniendo en consideración que no existen normas legales específicas para fijar indemnizaciones causadas en otros tipos de sucesos fortuitos, dicho baremo puede tener la virtud, en algunos casos, de ayudar a los operadores jurídicos a estructurar el quantum indemnizatorio por cada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juzgador, si decide acudir al sistema de baremos, habrá de resolver en consonancia con él de modo tal que la Sentencia sea congruente con las bases tomadas en consideración. En este sentido, debemos afirmar que tan constitucional es recurrir al baremo como medida orientativa para reconocer indemnizaciones (STC 181/2000, de 19 de junio), como no hacerlo, o incluso utilizarla para valorar unas partidas y no otras. Precisamente por esta razón, el órgano judicial de instancia estaba legitimado para guiarse por las tablas del baremo a la hora de fijar unas indemnizaciones y no hacerlo para otras. La cuestión no radica en la selección de la norma aplicable, sino en el modo en el que el órgano judicial a quo ha aplicado la misma; cosa que hizo con errores, duplicidades y en algunos puntos con falta de la suficiente motivación. Por ello, la Sala Quinta, en aplicación de su reiterada doctrina, revisó la Sentencia de instancia y corrigió la suma indemnizatoria; decisión a la que no cabe hacer reproche alguno desde la perspectiva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insistimos, no puede perderse de vista que al Tribunal Constitucional corresponde la protección de los derechos fundamentales, pero no la corrección de cualesquiera errores de apreciación fáctica o desviaciones de la legalidad ordinaria en que incurran los órganos judiciales. Este Tribunal no es una tercera instancia competente para efectuar el control de las valoraciones de hecho y de Derecho realizadas por los jueces y tribunales en el ejercicio exclusivo de la potestad que les reconoce el art. 117.3 CE. De otro modo, el recurso de amparo quedaría transformado en una instancia revisora con merma de las competencias que constitucionalmente corresponden a la jurisdicción ordinaria (por todas, SSTC 210/1991, de 11 de noviembre, FJ 5; y 201/1994,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rechazar la alegada vulneración del derecho fundamental a la tutela judicial efectiva del recurrente (art. 24.1 CE), al no haber incurrido la resolución impugnada en error patente al aplicar en casación el sistema legal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el recurrente, la Sentencia impugnada ha lesionado, también, su derecho fundamental a la igualdad en la aplicación de la ley (art. 14 CE), porque en casos similares la misma Sala ha excluido la utilización del baremo como parámetro de control casacional de las indemnizaciones fijadas por el órgano judicial de instancia (Sentencia de 15 de noviembre de 2000), y porque ha reconocido previamente también la posibilidad de reparar el lucro cesante a partir de las reglas del sistema legal de valoración, incluso en casación (Sentencia de 6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una muy consolidada doctrina constitucional, un órgano judicial vulnera el derecho fundamental a la igualdad en la aplicación de la ley si se aparta, sin una motivación justificada en términos generalizables, de la solución que él mismo ha proporcionado en un caso anterior, idéntico en lo sustancial al enjuiciado, pero relativo a una persona distinta del demandante de amparo (por todas, SSTC 205/2013, de 5 de diciembre, FJ 3; 13/2011, de 28 de febrero, FJ 3; y 105/2009, de 4 de mayo, FJ 4). Partiendo de esta doctrina y, en particular, de dos de los requisitos que deben concurrir para declarar la señalada vulneración (ausencia de justificación en términos generalizables y tertium comparationis), afrontaremos las quejas del demandante de amparo en relación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Sentencia, alegada como término de comparación por el demandante, es la de 15 de noviembre de 2000, que enjuicia también un accidente por arma de fuego. En ella, la Sala Quinta del Tribunal Supremo desestimó el motivo de casación por infracción de ley planteado por el Abogado del Estado, según el cual la Sentencia de instancia había vulnerado el baremo por no haber tenido en cuenta sus criterios objetivos “ni siquiera a los fines orientativos que le reconoce la jurisprudencia de esta Sala Quinta”, dado que “la indemnización fijada excede notablemente de lo que resultaría de la aplicación del baremo”. Para llegar a este fallo, la Sala Quinta razonó que el quantum resarcitorio no puede revisarse en casación, utilizando las reglas del baremo, cuando este sistema no resulta aplicable por haberse producido los daños en un contexto diverso al de los accidentes de vehículo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ahora impugnada no contradice, sino que reafirma y perfila esta doctrina. En consonancia con su propia jurisprudencia y la de otras Salas del Tribunal Supremo, considera que el citado baremo no es utilizable como parámetro de control casacional en casos ajenos al tráfico rodado, salvo que haya resultado efectivamente aplicado por la Sentencia de instancia. Esta salvedad no es en modo alguno inconsecuente con la doctrina de la Sentencia de contraste y, en todo caso, la Sentencia impugnada se ha ocupado de justificarla razonablemente y en términos generalizables. La Sentencia impugnada afirma en este sentido que, conforme a un “principio elemental de congruencia y de seguridad jurídica”, el Tribunal de instancia que decide aplicar el baremo fuera del contexto circulatorio debe utilizarlo adecuadamente por lo que “salirse del baremo” para reconocer indemnizaciones distintas, “una vez establecida su aplicación por el Tribunal con carácter general, haría incongruente la resolución y supondría un evidente desajuste en la determinación de la cuantificación del daño”. Ha sido, precisamente, esta doctrina la que obliga a la Sala Quinta del Tribunal Supremo a contrastar el resultado indemnizatorio obtenido por el Tribunal de instancia con las reglas del sistema legal de valoración que él mismo decidió aplicar, pese a que el supuesto dañoso era ajeno al tráfico rodado.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al aplicar el baremo como parámetro de control casacional, la Sala de lo Militar del Tribunal Supremo no contradijo su doctrina, ni vulneró el principio de igualdad reconocido en el art. 14 CE. Cuestión distinta es que la aplicación del baremo al caso pueda ser discutida. En todo caso, en el fundamento jurídico anterior ya hemos descartado que la Sentencia impugnada haya incurrido en un error constitucionalmente relevante lesivo del derecho fundamental a la tutela judicial efectiva (art. 24.1 CE) por utilizar las reglas del baremo como normas de control de la indemnización reconocida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Sentencia, invocada como término de comparación es la de 6 de marzo de 2006, que analizaba el fallecimiento de un comandante de la Guardia Civil a causa del disparo con arma de fuego efectuado intencionadamente por un superior. La Sala Quinta del Tribunal Supremo estimó que la Sentencia de instancia debió reparar el lucro cesante que la muerte del comandante ocasionó a su mujer e hijos, por no ser de aplicación el baremo a “supuestos de muerte dolosa en contraposición a las de muerte culposa”. Respecto de los “daños morales” entendió que nada impedía la utilización del baremo siempre que “opere como referente, sin carácter obligatorio” y sin que proceda en casación otra revisión que la consistente en “analizar si el montante fijado” es “fruto del capricho o arbitrio del Tribunal sentenciador, o si se ajusta a las reglas de la lógica, único supuesto susceptible de control casacional”. En relación con “los daños materiales”, sin referirse en ningún momento al baremo de tráfico, declaró que el lucro cesante debía ser indemnizado si está “probado, por lo menos, por vía aproximativa”.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Sentencia impugnada parte de la doctrina general de que, en los supuestos de reparación de daños culposos, el Tribunal de instancia puede utilizar el baremo fuera del ámbito del tráfico rodado, pero que, si tal es la opción elegida, debe hacerlo rigurosamente y queda sujeto al control casacional. Tal razonamiento no contradice el criterio fijado en la Sentencia de contraste, porque ésta rechaza la aplicación extensiva del baremo y su utilización como parámetro de control casacional al supuesto de daños ajenos al contexto circulatorio que han sido dolosa o intencionadamente causados. Esto permite explicar el diverso tratamiento del lucro cesante acreditado en las Sentencias contrastadas: según la Sentencia impugnada en el presente proceso constitucional, la reparación del lucro cesante derivado de imprudencia debe ajustarse a las reglas del baremo porque el Tribunal de instancia pudo y quiso vincularse a ellas. En cambio, la Sentencia de 6 de marzo de 2006 ordena la reparación del lucro cesante derivado de dolo sin referirse a esas reglas e, incluso, dando a entender que en modo alguno pueden utilizarse por estarse ante un supuesto de daño intencionado.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falta la necesaria identidad sustancial entre los supuestos de hecho enjuiciados en ambas Sentencias y la contradicción entre sus respectivas doctrinas, por más que la Sala Quinta del Tribunal Supremo reconociera en un caso el lucro cesante que había denegado el Tribunal de instancia y que en otro negara el que había reconocido el Tribunal de instancia. Cuestión distinta que en modo alguno compromete el derecho a la igualdad en la aplicación de la ley es si la aplicación de tal baremo conducía efectivamente a rechazar la reparación del lucro, como afirma la Sentencia impugnada. De esta cuestión nos ocupamos a continuación bajo la óptica del derecho fundamental a una resolución fundada en Derecho (art. 24.1 CE), al responder la queja siguiente esgrimida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alegación conjunta del art. 24.1 y 15 CE, y la necesidad de elevar el canon de motivación para el control de la resolución impugnada, es oportuno recordar que este Tribunal, habiendo ya razonado que un sistema de tasación legal de daños y perjuicios no es de suyo contrario al art. 15 CE (SSTC 181/2000, de 29 de junio, FFJJ 7, 8 y 9; 42/2003, de 3 de marzo, FJ 4, y 30/2005, de 26 de septiembre, FJ 3), no puede entrar a valorar si el baremo obligaba o no a reconocer en el presente caso otras cantidades diferentes a las asignadas por la Sentencia impugnada en concepto de indemnización de los daños y perjuicios sufridos por la parte actora, sin introducirse en el terreno de la legalidad ordinaria (SSTC 190/2005, de 7 de julio, FJ 5; 257/2005, de 24 de octubre, FJ 4, y 33/2011,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hay que subrayar que en la STC 134/2003, de 30 de junio (con remisión a la STC 181/2000, de 29 de junio) ya precisamos que “el art. 15 CE sólo condiciona al legislador de la responsabilidad civil en dos aspectos: exigiéndole, de una parte, que establezca unas pautas indemnizatorias suficientes en el sentido de respetuosas con la dignidad que es inherente al ser humano y, de otra parte, que mediante dichas indemnizaciones se atienda a la integridad en todo su ser, sin disponer exclusiones injustificadas. Ninguno de ambos aspectos puede entenderse desatendido en el presente caso, dado que las lesiones padecidas por el recurrente fueron indemnizadas de acuerdo con un sistema legal de baremación al que en la STC 181/2000 no opusimos reparo alguno desde la perspectiva del art. 15 CE, sin que, por otra parte, el [demandante] haya alegado haber padecido daños físicos o morales cuya indemnización se encuentre legalmente excluida (en el mismo sentido, STC 21/2001, de 29 de enero, FJ 3). En consecuencia, es preciso descartar toda posible relación de la pretendida lesión del derecho a la tutela judicial efectiva del demandante con una supuesta infracción de su derecho a la integridad física”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resulta plenamente aplicable a este caso, en el que no ha existido exclusión de determinados daños físicos o morales en la indemnización, sino duplicación de partidas indemnizatorias y, en consecuencia, reducción del montante final, por lo que también debe ser descartada la vulneración del derecho a la tutela judicial efectiva (art. 24.1 CE) en relación con el derecho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según el demandante, la Sala Quinta del Tribunal Supremo ha vulnerado también el derecho fundamental a una resolución judicial congruente con las pretensiones de las partes (art. 24.1 CE), por dejar de resolver su petición subsidiaria de otorgamiento de una pensión vitalicia mensual en concepto de gastos futuros y lucro cesante (incongruencia ex silentio) y por eliminar una partida indemnizatoria (secuelas de los padres del perjudicado) reconocida por la Sentencia de instancia sin que fuese impugnada por el Abogado del Estado (incongruencia extra petita).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muy numerosas las decisiones en las que este Tribunal ha abordado la relevancia constitucional del vicio de incongruencia de las resoluciones judiciales, precisando cómo y en qué casos una resolución judicial puede lesionar por este motivo el derecho fundamental reconocido en el art. 24.1 CE (por todas, SSTC 40/2006, de 13 de febrero, FJ 2; 44/2008, de 10 de marzo, FJ 2; y 25/2012, de 27 de febrero, FJ 3).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este sentido ha de recordarse que el principio iura novit curia permite al Juez fundar el fallo en los preceptos legales o normas jurídicas que sean de pertinente aplicación al caso, aunque los litigantes no las hubieren invocado, y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ya mencionada STC 44/2008, con cita de la STC 100/2004, de 2 de junio, recuerda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44/2008,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la doctrina expuesta sobre las incongruencias en las que habría incurrido la Sentencia casacional impugnada, llegamos a las conclusiones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pensión vitalicia constituye, técnicamente, una forma de pago cuyo presupuesto es, lógicamente, el reconocimiento previo de la deuda resarcitoria. Por ello, al eliminar las cantidades reconocidas por el juzgador de instancia por “gastos futuros” y “lucro cesante”, el Tribunal Supremo ha rechazado también la posibilidad de que el actor las obtuviera de manera fraccionada mediante una renta periódica. Por tanto, se debe entender que la petición subsidiaria del recurrente obtuvo cumplida respuesta sin que, en consecuencia, la Sentencia impugnada haya vulnerado su derecho fundamental a la tutela judicial efectiva por incongruencia omisiva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respecto de la incongruencia extra petita denunciada, conviene recordar que el Abogado del Estado, en el primer motivo de su recurso de casación, denunció que la Sentencia del Tribunal Militar había cuantificado las lesiones permanentes (tanto del perjudicado directo, como de sus padres) sin respetar las “bases y pautas que permiten posteriormente la determinación de la cuantía” y, en particular, sin aplicar la llamada “fórmula de Balthazard”. Lleva razón el demandante de amparo cuando afirma que el Abogado del Estado en este punto no discutía la resarcibilidad de las secuelas de los padres del directo perjudicado, ni siquiera el hecho de que se les hubiera asignado la máxima puntuación. El argumento se basaba únicamente en que se hubieran agregado los puntos resultantes mediante una simple suma aritmética que arrojó una cifra superior a cien (cuando el techo o tope contemplado es el de cien).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es menos cierto que el Abogado del Estado, en el tercer motivo de casación, impugnó la total indemnización fijada en la instancia, por entenderla falta de motivación suficiente. Así expresamente razona: “la sentencia que recurrimos no cumple los estándares de suficiencia necesarios para que podamos comprender las razones que llevan al Tribunal al reconocimiento de una indemnización que desborda con creces los umbrales indemnizatorios conocidos en nuestro sistema”. Al referirse a los aspectos que la Sentencia de instancia habría dejado sin justificar, el Abogado del Estado hizo referencia a aquellos que afectaban a cada una de las partidas indemnizatorias y, por tanto, también a la compensación reconocida por las secuelas de los padres, como la manifiesta desproporción de la suma global asignada o la ausencia de explicación de las razones que llevaron al Tribunal de instancia a separarse de los criterios del baremo.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estas consideraciones, no puede afirmarse, como pretende el recurrente, que el recurso de casación del Abogado del Estado haya solicitado sólo la reducción de la indemnización asignada por las secuelas psiquiátricas de los padres del directo perjudicado. Por ello, aplicando nuestra consolidada doctrina sobre la incongruencia extra petita antes reseñada, y dado que para entender producida una verdadera alteración de los términos esenciales del debate, con detrimento correlativo de las posibilidades de defensa de las partes, el desajuste entre lo pedido y lo decidido debe ser evidente, procede descartar también la denunciada vulneración del derecho del recurrente a la tutela judicial efectiva (art. 24.1 CE), en esta vertiente.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Javier Joaquín Gómez Herrero.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