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6148-2014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6148-2014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por don Josep Asensio i Serqueda en el recurso de amparo núm. 6148-2014.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13 de octubre de 2014, don Josep Asensio i Serqueda, Abogado colegiado en el Ilustre Colegio de Abogados de Barcelona número 33.816, interpuso, en su propio nombre, recurso de amparo contra la providencia dictada por el Pleno del Tribunal Constitucional en fecha 29 de septiembre de 2014, por la que se acordaba la admisión a trámite del recurso de inconstitucionalidad núm. 5829-2014, relativo a diversos preceptos de la Ley del Parlamento de Cataluña 10/2014, de 26 de septiembre, y contra providencia dictada por el mismo órgano en igual fecha acordando la admisión a trámite de la impugnación de disposiciones autonómicas núm. 5830-2014, promovida contra el Decreto del Presidente de la Generalitat de Cataluña 129/2013, de 27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escrito de demanda de amparo el recurrente solicitó, invocando expresamente los artículos 80 de la Ley Orgánica del Tribunal Constitucional (LOTC) y 217 de la Ley Orgánica del Poder Judicial (LOPJ), “la recusación del Pleno del Tribunal Constitucional que ha dictado las dos providencias recurridas en amparo”. La recusación promovida, incluida como tercer otrosí de la demanda, se funda expresamente en la causa de abstención y recusación actualmente recogida en el art. 219.10 LOPJ. Como fundamento de la recusación, el recurrente se limita a razonar que las dos providencias han sido adoptadas por todos los Magistrados que componen el Pleno del Tribunal, y que la violación de derechos fundamentales alegada es directamente imputable a ambas resoluciones. Entiende así que, en estas circunstancias, no cabe sino concluir que los Magistrados intervinientes tienen un interés, sea directo o indirecto, en la resolución del recurso de amparo presentado.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reforzar esta conclusión, el recurrente reitera algunos de los argumentos incluidos en el cuerpo principal de la demanda, argumentos que vendrían, en su opinión, a evidenciar que la vulneración de los derechos fundamentales es directamente imputable a las dos providencias del Pleno. Considera, en primer lugar, que la decisión del Tribunal de suspender la aplicación de la Ley del Parlamento de Cataluña 10/2014, de 26 de septiembre, ha sido indebidamente vinculada a la previsión contenida en el art. 161.2 CE. A juicio del recurrente, este precepto constitucional no contempla de forma expresa los actos normativos con fuerza de ley. Habría sido el legislador orgánico el que, de modo ilegítimo, habría expandido, a través del art. 30 LOTC, el ámbito de aplicación de la suspensión. El recurrente deduce de ello que los Magistrados recusados habrían actuado al margen de sus verdaderas competencias. También estima el recurrente que la lesión es directamente imputable a los Magistrados que componen el Pleno del Tribunal, en la medida en que éstos habrían convertido la decisión de admisión, tanto del recurso de inconstitucionalidad como de la impugnación de la disposición autonómica, en un trámite meramente nominal, cumplimentado el mismo día en el que tuvieron entrada las demandas presentadas por el Gobierno de la Nación, sin posibilidad real, por tanto, de efectuar un examen detenido de la concurrencia de los presupuestos procesales necesarios para su admisión. Por último, también refiere que, al ser las providencias mencionadas el objeto del presente recurso de amparo, el Pleno carece de imparcialidad objetiva para su resolución y, por ende, para decidir sobre el incidente de recusación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entrar en el fondo de la cuestión planteada hemos de recordar que el art. 80 de la Ley Orgánica del Tribunal Constitucional (LOTC) dispone la aplicación supletoria a los procedimientos constitucionales de las normas de la Ley Orgánica del Poder Judicial (LOPJ) en materia de “recusación y abstención”. De acuerdo con esta remisión expresa, este Tribunal ha venido entendiendo, como línea de principio, que el art. 227 LOPJ, que impide a los Magistrados recusados formar parte del órgano que ha de decidir sobre la recusación planteada, es uno los preceptos que rigen el incidente de recusación en el ámbito de la jurisdicción constitucional. No obstante, hemos tenido la oportunidad de señalar en ocasiones anteriores que el art. 227 LOPJ pierde toda su operatividad en supuestos en los que resulta incompatible con la especial naturaleza y estructura del Tribunal Constitucional. En esta línea, hemos entendido que no cabe aplicar este precepto, cuando la recusación se dirige contra todos los Magistrados que componen el Pleno, ya que otra solución supondría una paralización inaceptable del ejercicio de la jurisdicción constitucional (AATC 80/2005, de 17 de febrero, 443/2007, de 27 de noviembre, y 126/2008,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singular naturaleza del Tribunal Constitucional, que no admite la sustitución de los Magistrados que lo componen, y la necesidad de que la aplicación del régimen de recusación y de abstención no conduzca a resultados absurdos o gravemente perturbadores para las funciones que tiene constitucionalmente asignadas, obliga a excluir, como hemos hecho en ocasiones precedentes en las que se ha planteado la recusación integral del colegio de Magistrados, la aplicación del art. 227 LOPJ, pues sólo así puede alcanzarse, de acuerdo con lo dispuesto en el art. 14 LOTC, el quorum imprescindible para que el Tribunal pueda actuar.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Entrando ya en el examen de admisión, hay que recordar que, desde las primeras resoluciones dictadas en materia de recusación, este Tribunal viene admitiendo la posibilidad de denegar su tramitación cuando razones procesales o de fondo así lo exijan (por todos, ATC 109/1981, de 30 de octubre). El rechazo a limine de una recusación puede producirse, desde luego, como consecuencia de su defectuoso planteamiento procesal (ATC 383/2006, de 2 de noviembre, FJ 2; y 394/2006, de 7 de noviembre, FJ 2). También es posible inadmitir a trámite una causa de recusación, de acuerdo con el art. 11.2 LOPJ, en atención a las circunstancias que la circundan, de su planteamiento y de las argumentaciones de los recusantes (AATC 394/2006, FJ 2; 454/2006, de 12 de diciembre, FJ 3; y 177/2007, de 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examinado, puede afirmarse con suficiente seguridad la improcedencia de la recusación solicitada por carecer de forma clara e inmediata de fundamento. El solo recordatorio de la singularidad del Tribunal Constitucional sería suficiente para inadmitir sin más trámite la recusación planteada, ya que el efecto de la estimación sería la completa paralización del ejercicio de la jurisdicción constitucional (AATC 80/2005, de 17 de febrero, FJ 4; 26/2007, de 5 de febrero, FJ 2; y 387/2007, de 16 de octubre, FJ 2). Pero, más allá de este efecto inasumible, es la naturaleza misma de la recusación la que la hace inadmisible a limine, ya que, como hemos señalado con anterioridad, “las recusaciones genéricamente formuladas contra el conjunto de los Magistrados que forman el Tribunal Constitucional son impertinentes y abusivas, y deben ser rechazadas sin más” (ATC 80/2005, de 17 de febrero), pues en ellas “propiamente no se recusa a los Magistrados, sino al propio Tribunal Constitucional” (ATC 380/1993, de 21 de diciembre). Una recusación de este tipo, que, en última instancia, va referida al órgano mismo y no a sus integrantes carece, obviamente de sustantividad jurídica y no es acreedora de una decisión sobre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recusación resulta igualmente inadmisible a la vista de su defectuosa formulación procesal. La naturaleza singular de este Tribunal y de los procesos constitucionales a él sometidos nos ha llevado a una jurisprudencia rigurosa en la apreciación de las causas de recusación y abstención. Hemos afirmado así que la enumeración establecida actualmente en el art. 219 LOPJ es taxativa y de carácter cerrado, de suerte que “los motivos de recusación han de subsumirse necesariamente en algunos de aquellos supuestos que la ley define como tales” (SSTC 69/2001, de 17 de marzo, FJ 21; y 157/1993, de 6 de mayo, FJ 1, citadas en ATC 61/2003, de 19 de febrero, FJ 1). Por otra parte en el escrito en el que se proponga una recusación se debe expresar “concreta y claramente la causa de recusación” prevista por la ley, sin que “baste afirmar un motivo de recusación; es preciso expresar los hechos concretos en que la parte funde tal afirmación y que estos hechos constituyan —en principio— los que configuran la causa invocada” (ATC 109/1981, de 30 de octubre, FJ 2; en el mismo sentido, AATC 115/2002, de 10 de julio, FJ 1; 80/2005, de 17 de febrero, FJ 3; 454/2006, de 12 de diciembre, FJ 3; y 26/2007, de 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tercer otrosí de la demanda de amparo se limita a indicar que los Magistrados integrantes del Pleno del Tribunal Constitucional tienen un “interés directo o indirecto” en la resolución del pleito, ya que la vulneración de los derechos fundamentales les sería imputable de modo inmediato. Con este razonamiento, la demandante de amparo invoca el tenor literal de la causa comprendida en el artículo 219.10 LOPJ, causa que este Tribunal ha puesto en relación con el objeto del proceso en el que la recusación se plantea, de modo que ha de identificarse con precisión el interés concreto que el Magistrado recusado tiene en el resultado del proceso constitucional en el que la recusación se formula (AATC 379/1993, de 12 de diciembre, y 226/2002, de 20 de noviembre). Ese “interés directo o indirecto” en el asunto debe ir referido, además, a la relación previa del Magistrado con el objeto del proceso (ATC 180/2013, de 17 de septiembre), y ha de entenderse que concurre cuando el pleito proporciona al Magistrado una ventaja o beneficio o le evita una carga o perjuicio, para sí o para sus allegados. Ha de tratarse, asimismo, de un interés singularizado en relación con el concreto proceso en que se plantee la recusación (ATC 26/2007, de 5 de febrero, FJ 7) y un interés actual, esto es, concurrente en el momento en que se promueve el apartamiento del Magistrado mediante su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única relación de los Magistrados recusados con el recurso interpuesto es, según el recurrente, haber intervenido en el trámite de admisión de dos procedimientos constitucionales, relación puramente procesal que es manifiestamente inidónea para generar el “interés” en el objeto litigioso a que se refiere el art. 219.10 LOPJ, especialmente cuando los procedimientos aludidos no versan sobre una cuestión de hecho sino sobre la adecuación a la Constitución de determinadas normas. Este interés tampoco puede deducirse, sin más, como hace el recurrente, de la celeridad con la que el Pleno del Tribunal Constitucional ha cumplimentado el trámite de admisión, ya que “la celeridad al resolver las cuestiones planteadas, aun cuando pueda ser producto de una valoración sobre la trascendencia o urgencia de ellas, no implica, si aquéllas versan sobre la admisibilidad de un recurso, tomar posición sobre el fondo del asunto ni puede ser un indicio de falta de imparcialidad, pues tal medida no puede ir en contra de las pretensiones de ninguna de las partes, cuyo interés no puede ser otro que el de la rápida resolución de las cuestiones sometidas a la consideración del Tribunal” (ATC de fecha 9 de octubre de 2014, recaído en el recurso de inconstitucionalidad 5829-2014).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pues claro que el recurrente no ha hecho ningún esfuerzo argumental para individualizar el supuesto beneficio o ventaja que para cada uno de los Magistrados del Pleno que intervinieron en la admisión a trámite de las providencias impugnadas se derivaría del resultado del presente recurso de amparo, incumpliendo, pues, la doctrina consolidada de este Tribunal, que arranca del ATC 109/1981, de 30 de octubre, que, como ya hemos señalado, exige para que una solicitud de recusación pueda ser admitida, que el escrito en que se formule exprese, concreta y claramente, una causa de recusación de las previstas legalmente, con expresión de los motivos en que se funda, pero también acompañando un principio de prueba sobre los mismos; en este caso sobre el concreto beneficio resultante para el Magistrado recusado (entre otros, AATC 126/2008, de 14 de mayo, FJ 2; 351/2008, de 4 de noviembre, FJ 2; y 40/2011, de 12 de abril,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por don Josep Asensio i Serqueda en el recurso de amparo núm. 6148-2014.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