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3931-2013, promovido por más de 50 diputados del Grupo Parlamentario Socialista en relación con el Real Decreto-Ley 6/2013, de 22 de marzo, de protección a los titulares de determinados productos de ahorro e inversión y otras medidas de carácter financiero. Ha comparecido y formulado alegaciones el Abogado del Estado.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junio de 2013 tuvo entrada en el Registro General de este Tribunal Constitucional, escrito de la Procuradora de los Tribunales, doña Virginia Aragón Segura por el que, en nombre y representación de más de cincuenta Diputados del Grupo Parlamentario Socialista, interpone recurso de inconstitucionalidad en relación con el Real Decreto-ley 6/2013, de 22 de marzo, de protección a los titulares de determinados productos de ahorro e inversión y otras medidas de carácter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por referirse a lo que constituye el contenido del Real Decreto-ley que es objeto del presente recurso de inconstitucionalidad, a constatar el cumplimiento de los requisitos procesales para el planteamiento del recurso, y a efectuar un pormenorizado análisis del contexto general en el que se inserta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efectúa a continuación un análisis de la figura del decreto-ley y de lo que considera su abusiva utilización por este Gobierno. Se recoge en este apartado una amplia referencia a la jurisprudencia constitucional relativa al art. 86.1 CE y, en concreto, en relación con: las limitaciones derivadas de la concurrencia de la “extraordinaria y urgente necesidad”; la necesaria “conexión de sentido o relación de adecuación” entre la situación definida como presupuesto habilitante y las medidas contenidas en el decreto-ley para subvenir a la misma, lo que supone la exigencia de que el mismo implique una acción inmediata, y que ésta no pueda conseguirse por los mecanismos legislativos ordinarios en igual plazo de tiempo; la definición de esa situación excepcional, que debe ser “explícita y razonada”; y la no afectación a determinadas materias, entre las que se incluyen “los derechos de los ciudadanos regulados en el Título I de la Constitución” (SSTC 111/1983, 137/2011, 182/1997, 29/1982, 68/2007, 11/2002, 1/2012, 137/2003, 237/2012, y 39/2013). Se afirma a continuación que la apelación del Gobierno a esta figura de legislación de urgencia durante la presente legislatura no es en modo alguno excepcional, sino que se ha convertido en la forma ordinaria de legislar, dando lugar a una utilización claramente abusiva de un procedimiento que la Constitución no ha previsto como ordinario y cuyo uso ha sometido a estrictas condiciones que no se pueden desconocer. Esta utilización abusiva desvirtúa los fundamentos de la democracia parlamentaria y del sistema clásico de fuentes del derecho y de división de poderes de nuestro sistema constitucional, además de limitar las facultades que se atribuyen a los diputados y grupos minoritarios, especialmente en una situación de gobierno con mayoría absoluta en las dos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motivos de inconstitucionalidad que se imputan a la disposición impugnada, la parte recurrente alega que el Decreto-ley no cumple el requisito de la “extraordinaria y urgente necesidad” que exige el art. 86.1 CE, en los términos contemplados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así el incumplimiento de la exigencia relativa a la necesaria justificación, debidamente razonada y motivada, del presupuesto habilitante. En este sentido, la exposición de motivos de la norma se limita a un exiguo y parco párrafo, insuficiente para avalar su constitucionalidad, pues la situación que justificaría el recurso a una norma excepcional, es la de ofrecer una solución global y completa a los tenedores de participaciones preferentes y deuda subordinada que no pueden recuperar sus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resolver es, pues, si el Real Decreto-ley 6/2013 responde a esta necesidad urgente de solucionar una situación injusta, si agiliza los mecanismos para que los ciudadanos recuperen sus ahorros. Afirma la demanda, en este sentido, que sólo la adopción de medidas dirigidas a hacer posible la devolución de lo invertido en estos productos de alto riesgo atendería a la situación de extraordinaria y urgente necesidad de los que invirtieron en participaciones preferentes y deuda subordinada, mientras la norma impugnada se limita a establecer dos medidas que no vienen a dar respuesta inmediata a la situación extraordinaria de los inversores minoristas, por lo que no se puede apreciar la constitucionalmente exigida conexión entre la norma urgente y la respuesta que, a través de la misma, da el Gobierno. En primer lugar, crea una comisión de seguimiento de instrumentos híbridos de capital y deuda subordinada, cuyas funciones son básicamente de análisis e informe y, en consecuencia, su trabajo no va a impulsar ni acelerar la solución de la situación de los “preferentistas”, por lo que viene simplemente a redundar en lo que ya había decidido el Fondo de reestructuración ordenada bancaria (FROB) en su resolución de 22 de marzo de 2013, que obliga a los titulares de participaciones preferentes y deuda subordinada de las entidades financieras del denominado grupo 1, a una conversión obligatoria de sus títulos por acciones muy devaluadas.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señala que para la creación de la comisión no era necesaria una norma con rango de ley, por lo que la aprobación del Decreto-ley resulta innecesaria y desproporcionada, quebrando por este motivo la relación de adecuación que, según la jurisprudencia del Tribunal Constitucional, ha de existir entre la urgencia apreciada y las medidas instrumentadas por la norma, dado que la normativa vigente contemplaba ya los mecanismos aquí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los mecanismos de gestión de estos productos híbridos ya estaban en marcha al aprobarse el Decreto-ley, por lo que no se aprecia avance alguno en la situación de los tenedores de participaciones preferentes, y cita al respecto el Real Decreto-ley 24/2012, de 31 de agosto, de reestructuración y resolución de entidades de crédito, y la Ley 9/2012, de 14 de noviembre, de reestructuración y resolución de entidades de crédito. El Ministro de Economía y Competitividad, en el debate de convalidación de la presente norma, habría reconocido que los procedimientos de arbitraje para dirimir las controversias derivadas de la comercialización de participaciones preferentes y deuda subordinada se estaban aplicando en las entidades afectadas, por lo que la normativa vigente ya contemplaba los mecanismos a que se refiere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la demanda que la justificación que se incluye en la exposición de motivos de la norma, en relación con la extraordinaria y urgente necesidad, ha sido desmentida por el propio Ministro de Economía y Competitividad. Así, en la exposición de motivos se aludía al “cumplimiento de los compromisos adquiridos de conformidad con el Memorando de Entendimiento firmado para la asistencia financiera europea a la citada reestructuración”. Pues bien, el Ministro habría reconocido que esta norma no es consecuencia del memorando, “no tiene que ver con el MOU”.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ha producido como consecuencia del Decreto-ley 6/2013 una alteración de la situación preexistente, no se ha aportado solución alguna, ni impulsado o acelerado las ya existentes, por lo que no se cumple la exigencia reflejada en la STC 29/1982, donde se afirma que no concurre el presupuesto habilitante si la norma no contiene disposiciones que “por su estructura misma, independientemente de su contenido, no modifican de manera instantánea la situación jurídica existente”. Por todo ello, se afirma que el Real Decreto-ley no cumple el requisito de la “extraordinaria y urgente necesidad” que exige el art. 86.1 CE, en los términos exigidos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Tercera y por providencia de 11 de julio de 2013, admitió a trámite el presente recurso de inconstitucionalidad, acordando dar traslado de la demanda y documentos presentados, conforme establece el artículo 34 de la Ley Orgánica del Tribunal Constitucional, al Congreso de los Diputados y al Senado, por conducto de sus Presidentes, y al Gobierno, a través del Ministro de Justicia, al objeto de que en el plazo de quince días, pudieran personarse en el proceso y formular las alegaciones que estimaran pertinentes; y se acuerda asimismo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19 de julio de 2013, el Abogado del Estado se persona en el recurso, en nombre del Gobierno y solicita una prórroga de ocho días en el plazo concedido para formular alegaciones. El Pleno del Tribunal, en providencia de 22 de julio, acuerda la concesión de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de los Diputados, por escrito de su Presidente de 24 de julio de 2013, acuerda dar por personada a la Cámara en este procedimiento y por ofrecida su colaboración a los efectos del artículo 88.1 de la Ley Orgánica del Tribunal Constitucional. En idéntico sentido se pronuncia la Mesa del Senado, en escrito de 3 de septiembre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12 septiembre de 2013 tiene entrada en el Registro de este Tribunal el escrito de alegaciones que formula el Abogado del Estado, en nombre y representación del Gobierno de la Nación, en el que solicita que se inadmita el recurso respecto del artículo 2, las disposiciones adicionales primera y segunda, la disposición derogatoria única y las disposiciones finales primera a sexta del Real Decreto-ley 6/2013 y se desestime el recurso en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en primer término, al contenido del Real Decreto-ley, mediante una extensa cita de lo señalado en su preámbulo, y afirma a continuación que la demanda solicita la declaración de inconstitucionalidad de la totalidad del mismo por un único motivo; en concreto, porque faltaría la necesaria conexión entre la medidas recogidas en el texto y la situación de extraordinaria y urgente necesidad a que trata de atender, siendo así que solo se argumenta sobre esta desconexión en relación con el artículo 1 de la norma, sin que se efectúe mención ni argumentación alguna respecto del art. 2, las disposiciones adicionales, finales y derogatorias del mismo. Respecto de estos últimos preceptos, el recurso no levanta la carga de fundamentar su pretensión y colaborar con la justicia del Tribunal, en los términos exigidos por la doctrina constitucional, por lo que solicita la inadmisión del recurso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efectúa el Abogado del Estado una extensa cita de la doctrina constitucional sobre la concurrencia del presupuesto habilitante para el dictado de la norma de urgencia regulada en el art. 86 CE, recordando que el Tribunal tiene declarada la especial aptitud del real decreto-ley para atender a coyunturas económicas problemáticas (SSTC 6/1983, 111/1983, 29/1986, 60/1986, 23/1993, 182/1997, 137/2003), llegando a identificar la “extraordinaria y urgente necesidad” con “situaciones de necesidad relativas”. Declara así la especial aptitud del decreto-ley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11/2002, 137/2003 y 189/2005). En definitiva, el canon de enjuiciamiento del presupuesto habilitante se ciñe a corregir una eventual valoración abusiva o arbitraria por parte de los poderes políticos, de la necesidad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estatal, la propia demanda acepta que la situación de los preferentistas a que pretende atender el Real Decreto-ley 6/2013 “justificaría” el recurso a la norma de urgencia y, por tanto, que la atención a esta situación reunía los requisitos de extraordinaria y urgente necesidad, si bien entiende que la solución que da la norma no es “global y completa” y no les permitiría “recuperar sus ahorros”. Continúa señalando además la demanda, que “solo la adopción de medidas dirigidas a hacer posible la devolución de lo invertido en estos productos de alto riesgo atendería a la situación de extraordinaria y urgente necesidad de los que invirtieron en participaciones preferentes y deuda subordinada”. Por tanto, la demanda acepta que existe una situación de urgente y extraordinaria necesidad, pero considera que el Gobierno y el Congreso de los Diputados no han acertado con las medidas adoptadas para solventar tal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demanda admite la extraordinaria y urgente necesidad de atender a la situación de los tenedores de preferentes y deuda subordinada; sin embargo, se pretende que el Tribunal realice un juicio puramente político de si las medidas adoptadas en el Real Decreto-ley atienden eficazmente a paliar esa necesidad, en cuanto considera que solo las medidas que garantizaran la plena devolución de lo invertido serían eficaces. A juicio del Abogado del Estado, la justicia constitucional puede y debe valorar si entre la necesidad de las medidas adoptadas en la norma de urgencia existe un mínimo grado de conexión lógica que permita definir a éstas como respuesta —acertada o no, este ya es un juicio político— a aquella necesidad. Lo que no puede demandarse del Tribunal es que dirima entre el Gobierno/mayoría parlamentaria y los Sres. Diputados de la oposición sobre qué medidas son más eficaces para solventar la necesidad apreciada en común por todo el arco parlamentario. Estas consideraciones entran dentro del juicio político de la eficacia en la actuación de los órganos políticos y, por tanto, de una de las funciones políticas que incumben a las Cortes Generales y a los ciudadanos titulares de la soberanía. La doctrina constitucional ha declarado que la Constitución es un marco de coincidencias suficientemente amplio como para que dentro de él quepan opciones políticas de muy diferente signo, y, por tanto, muy diversas líneas de actuación política, cuya eficacia e idoneidad podrán ser objeto de crítica y debate político, más 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estatal que con estos razonamientos bastaría para dar respuesta a la demanda y para proceder a la íntegra desestimación del recurso. No obstante lo cual se procede a continuación a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Exteriorización de la concurrencia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justificación que aporta el preámbulo de la norma, el Abogado del Estado hace una extensa referencia literal a las manifestaciones efectuadas por el Ministro de Economía y Competitividad en el debate de convalidación, resaltando que se trataba de dar solución a la situación en la que se encuentran más de 300.000 tenedores de estos productos financieros complejos, y de impulsar las medidas a través de las cuales se pretendía atender a esa necesidad. La demanda sigue discrepando, desde la perspectiva política, de la solución adoptada por el Gobierno en el artículo 1 del Real Decreto-ley, en el que se crea la comisión de seguimiento de instrumentos híbridos de capital y deuda subordinada, pero no hace mención alguna a las restantes medidas, sobre las cuales se desconoce los motivos por las que la parte recurrente las considera desconectadas de la necesidad apreciada y compartida incluso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Conexión lógica entre la medida discutida por la demanda y la necesidad que se pretende subsanar.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en este punto el Abogado del Estado que la demanda pretende imponer al Gobierno una determinada línea de actuación (plena “devolución de lo invertido”), que habrá quienes la consideren deseable, pero que no convierte en inconstitucionales otras medidas que cabe adoptar dentro del amplio marco que fija nuestra Constitución. Además, y, al margen de la crítica política, la demanda únicamente hace alguna referencia a la medida recogida en el artículo 1, respecto de la cual afirma, que para crear la comisión de seguimiento no es necesaria una norma con rango de ley. A este respecto se recuerda que el artículo 103.2 CE establece una “reserva relativa” de ley en la creación de los órganos de la Administración del Estado, previsión que no exige que todos los órganos de la Administración se creen por ley, sino que ésta regule los elementos estructurales y esenciales de la organización administrativa general (STC 60/1986), por lo que puede resultar razonable que el legislador de urgencia considere oportuno crear ex novo por una norma de rango legal un órgano carente de toda disciplina en la normativa administrativa general, lo que permite cubrir la reserva de ley en la organización administrativa, esto es, la Ley 50/1997, del Gobierno, o la Ley 6/1997, de organización y funcionamiento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en nuestro Derecho no existe la llamada “reserva reglamentaria”, por lo que no hay ningún impedimento constitucional para que otra norma de rango legal —el decreto-ley— regule materias que, en principio, pudieran no estar materialmente reservadas a la ley. En el presente caso, considera el representante estatal, es absolutamente razonable que se otorgue rango legal a un órgano que se pretende que actúe como organismo supervisor de los procedimientos para la solución de las controversias entre los tenedores de productos financieros complejos y las entidades de crédito emisoras.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la última cuestión que plantea la demanda; en concreto, que los mecanismos de gestión de estos productos híbridos ya se estaban llevando a cabo. A juicio del Abogado del Estado, la Ley 9/2012 no establecía marco alguno en el que se articulara e hiciera un seguimiento y control de los procedimientos arbitrales para la solución de controversias entre los tenedores de títulos y las entidades emisoras, por lo que no cabe afirmar que el artículo 1 del Real Decreto-ley no innove la situación preexistente, sino que, muy al contrario, crea el entramado institucional encargado de la supervisión del principal procedimiento arbitral, con directa incidencia en el éxito del proceso de reestructuración del sector financiero que se está llevando a cabo con el apoyo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febrero de 2015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más de cincuenta Diputados del Grupo Parlamentario Socialista en relación con el Real Decreto-ley 6/2013, de 22 de marzo, de protección a los titulares de determinados productos de ahorro e inversión y otras medidas de carácter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se dirige contra la totalidad del Real Decreto-ley y se fundamenta por los diputados recurrentes en la no concurrencia del requisito de la “extraordinaria y urgente necesidad” enunciado por el artículo 86.1 CE, como presupuesto habilitante del real decreto-ley. Afirma el recurrente que el Real Decreto-ley 6/2013 no responde a la necesidad urgente de solucionar la situación de quiénes invirtieron en participaciones preferentes y deuda subordinada, pues se limita a establecer dos medidas que no dan respuesta inmediata a la situación de extraordinaria necesidad de los inversores minoristas: por un lado, crea la comisión de seguimiento de los instrumentos híbridos de capital y deuda subordinada, cuyas funciones son básicamente de análisis e informe, por lo que no va a impulsar la solución de la situación de los “preferentistas”; y, por otro, acude a una figura normativa, el decreto-ley, que resulta innecesaria y desproporcionada, dado que la normativa vigente ya contemplaba los mecanismos aquí previstos, por lo que no contribuye a aportar solución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refuta, como más ampliamente se expone en los antecedentes, estos argumentos y defiende que la aprobación del Real Decreto-ley 6/2013 se llevó a cabo con pleno respeto a los requisitos formales del art. 86 CE, concurriendo en el mismo tanto el presupuesto habilitante de la extraordinaria y urgente necesidad, en los términos plasmados en el preámbulo de la norma y en el debate de convalidación, como la conexión de sentido entre dicho presupuesto habilitante y las medidas adoptadas, por lo que solicita la desestimación total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recurso, y con carácter previo al examen de fondo, debemos pronunciarnos sobre la concurrencia de la causa de inadmisión parcial que plantea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estatal que el texto de la demanda solicita la declaración de inconstitucionalidad de la totalidad de la norma, pero únicamente argumenta sobre la inconstitucionalidad del artículo 1 del Real Decreto-ley, sin que se efectúe mención ni argumentación alguna respecto del artículo 2, ni las disposiciones adicionales, finales y derogatoria del mismo, preceptos en relación con los cuales el recurrente no habría levantado la carga de fundamentar su pretensión ni colaborar con la justicia del Tribunal en los términos exigidos por la jurisprudencia constitucional. En consecuencia, solicita la inadmisión del recurso de inconstitucionalidad en relación con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de coincidir en este punto con lo señalado por el Abogado del Estado, pues la lectura de los términos en que está formulada la impugnación pone de manifiesto que la misma se dirige, con carácter exclusivo y único, a lo dispuesto en el art. 1 del Real Decreto-ley 6/2013, esto es, la creación de la comisión de seguimiento de instrumentos híbridos de capital y deuda subordinada. El texto de la demanda comienza por referirse al contenido del Real Decreto-ley, haciendo mención exclusiva a lo dispuesto en su artículo 1 e ignorando el resto de sus preceptos, para, seguidamente, desarrollar sus argumentos únicamente en relación a ese artículo 1, sin que se efectúe mención alguna al resto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absoluta de cualquier alegación en relación con los restantes preceptos del Real Decreto-ley 6/2013, que preceptivamente debería acompañar la denuncia de inconstitucionalidad, impide que el Tribunal pueda entrar a pronunciarse sobre los mismos. Así lo hemos reiterado en numerosas ocasiones, pues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(por todas, STC 101/2013, de 23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el recurso en relación con el artículo 2; las disposiciones adicionales primera y segunda; la disposición derogatoria única; y las disposiciones finales primera a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del asunto, el recurso de inconstitucionalidad formulado se fundamenta en un único motivo de inconstitucionalidad, consistente en la infracción del art. 86.1 CE, por estimar los recurrentes que no concurre, en el supuesto examinado, el presupuesto de “extraordinaria y urgente necesidad” que habilita la utilización de la figura normativa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que, según el art. 86.1 CE, habilita al Gobierno para dictar la legislación de urgencia que se manifiesta a través de la figura del decreto-ley. Dicho presupuesto habilitante,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externo que al Tribunal corresponde realizar se concreta en los siguientes aspectos: en primer lugar, comprobar “que la definición por los órganos políticos de una situación de extraordinaria y urgente necesidad sea explícita y razonada”, y, además “que exista una conexión de sentido o relación de adecuación entre la situación definida que constituye el presupuesto y las medidas que en el Decreto- Ley se adoptan (STC 29/1982, de 31 de mayo, FJ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asimismo, que la doctrina de este Tribunal ha venido admitiendo la aptitud del decreto-ley para atender lo que hemos denominado como “coyunturas económicas problemáticas”, entre ellas,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de medidas tributarias de saneamiento del déficit público (STC 182/1997, de 28 de octubre) o, en fin, de necesidad de estimular el mercado del automóvil (STC 137/2003, de 3 de Julio)” (STC 68/2007, de 28 de marzo, FJ 6). Hemos considerado asimismo que “la necesidad de consolidar el crecimiento de la actividad económica permite también al Gobierno el recurso al decreto-ley como instrumento normativo adecuado para adoptar medidas de política económica general fundamentadas en garantizar la permanencia en el tiempo de una preexistente fase de expansión económica, lo que habrá de valorarse en atención a las circunstancias que concurran en cada caso concreto” (STC 137/2011, de 14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(STC 6/1983,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debemos examinar seguidamente si en el art. 1 del Real Decreto-ley impugnado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del Real Decreto-ley 6/2013, que es objeto de la presente impugnación, tiene por objeto la creación de la comisión de seguimiento de instrumentos híbridos de capital y deuda subordinada, como órgano colegiado adscrito al Ministerio de Economía y Competitividad, a través de la Secretaría de Estado de Economía y Apoyo a la Empresa. Las funciones que se atribuyen al citado órgano en dicho precepto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los factores que han motivado la presentación de reclamaciones judiciales y extrajudiciales por los titulares de instrumentos híbridos de capital y deuda subordinada frente a las entidades de crédito en la que el Fondo de reestructuración ordenada bancaria (FROB) tenga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remisión al Congreso de los Diputados, con carácter trimestral, de un informe relativo a los aspectos fundamentales de las reclamaciones a las que se refiere el apartado anterior, sin perjuicio de las competencias que sobre esta materia correspondan a otros órganos, organismos o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caso, la elevación de propuestas a las autoridades competentes con la finalidad de mejorar la protección del adquirente de este tipo de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comisión determinará los criterios básicos que habrán de emplear las entidades participadas por el FROB al objeto de ofrecer a sus clientes el sometimiento a arbitraje de las controversias que surjan en relación con instrumentos híbridos de capital y deuda subordinada, con el fin de que éstos queden adecuadamente compensados del perjuicio económico soportado, en caso de laudo estimatorio. Asimismo, y dentro de los criterios anteriores, la comisión especificará criterios para designar al colectivo de clientes cuyas reclamaciones, en atención a la especial dificultad de sus circunstancias personales o familiares, deberán recibir una tramitación prioritaria por parte de las entidades participadas por el FROB. La comisión trasladará estos criterios al FROB, que dará las instrucciones necesarias para que sus entidades participadas los adopten.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el Decreto-ley impugnado no cumple el requisito de la extraordinaria y urgente necesidad, en los términos contemplados por la jurisprudencia constitucional, pues la exposición de motivos de la norma se limita a una “exiguo y parco párrafo”, insuficiente para avalar su constitucionalidad. Se añade que la situación que justificaría el recurso a una norma excepcional, sería la de ofrecer una solución global y completa a los tenedores de participaciones preferentes y deuda subordinada, que no pueden recuperar sus ahorros, lo que no se hace.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preciso comenzar por el examen de las razones o motivos determinantes de la aprobación de este precepto, que se especifican en la exposición de motivos del Real Decreto-ley 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últimos años ha crecido el número de reclamaciones por parte de clientes de entidades financieras que habían adquirido instrumentos híbridos de capital y deuda subordinada. En este punto, se considera necesario crear un órgano con la más alta representación institucional que coordine e impulse los trabajos necesarios para hacer un seguimiento de determinadas incidencias que hayan podido derivarse de la comercialización de instrumentos híbridos de capital y deuda subordinada. Dentro de estos trabajos, y con pleno respeto a las competencias que, en materia de supervisión financiera y protección de consumidores y usuarios, ostenten otros organismos y el poder judicial, la Comisión hará un análisis de los factores generadores de las reclamaciones judiciales y extrajudiciales, así como del resultado de éstas, relativas a la comercialización de instrumentos híbridos de capital y deuda subordinada por parte de las entidades participadas por el Fondo de Reestructuración Ordenada Bancaria, realizando informes sobre su evolución, que serán remitidos al Congreso de los Diputados. Además, determinará los criterios básicos para fijar en el caso de entidades participadas por el FROB, en qué casos debe ofrecer a sus clientes la sumisión a arbitraje. Dicho análisis se realizará sin injerencia alguna en la debida independencia e imparcialidad con la que, conforme a la legislación vigente, deben desarrollarse los procedimientos tanto judiciales como arbitrales en materia de consumo y sin que suponga carga adicional de trabajo para los órganos jurisdiccionales o no, competentes para su tramitación, ni para 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apartados, la exposición de motivos, viene a añadir que “resulta necesario hacer un seguimiento de las eventuales reclamaciones que los clientes pueden dirigir a las entidades financieras por razón de la comercialización de estos productos complejos, y facilitar en determinados casos mecanismos ágiles de resolución de controversias, principalmente por medio del arbitraje”. Y concluye afirmando que “las medidas anteriores se enmarcan en un contexto de urgente y extraordinaria necesidad derivado de la inminencia de sus efectos sobre el proceso de reestructuración de entidades de crédito acometido en España, y para el cumplimiento de los compromisos adquiridos, de conformidad con el Memorando de Entendimiento firmado para la asistencia financiera europea a la citada reestructuración”.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señalado en la exposición de motivos de la norma impugnada debe ser completado, además, con el examen de los argumentos expuestos por el Ministro de Economía y Competitividad, en el debate de convalidación del Real Decreto-ley 6/2013 (“Diario de Sesiones del Congreso de los Diputados”, núm. 103, de 11 de abril de 2013, págs. 31-55):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aprobación de este real de decreto-ley el Gobierno da un paso más en el conjunto de iniciativas que ha adoptado desde el inicio de la legislatura para proteger a los pequeños ahorradores que han sufrido la mala comercialización de unos productos de inversión de gran complejidad; … la venta de participaciones preferentes y deuda subordinada entre inversores minoristas se realizaron de forma masiva durante los años 2008 y 2009 … la comercialización se realizó sin las precauciones debidas para un tipo de productos que, por su complejidad, no deberían haberse distribuido entre ahorradores y pequeños inversores, ya que estaban destinados fundamentalmente a inversores institucionales. Desde el primer momento el Gobierno ha buscado fórmulas que compatibilicen la compensación a los afectados por esta comercialización con la normativa comunitaria de ayudas de Estado, los planes de reestructuración y resolución de las entidades financieras, aprobados por la Comisión Europea y el respeto al principio de reducir el coste para 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sido voluntad de este Gobierno el impulso de unos procedimientos de arbitraje para dirimir las controversias derivadas de la comercialización de participaciones preferentes y deuda subordinada … el sistema arbitral de consumo es una solución extrajudicial y voluntaria de resolución de conflictos de carácter vinculante y ejecutivo para las partes … Consideramos que es una vía rápida, eficaz y menos costosa que un procedimiento judicial … Más de 16.000 casos en Novacaixagalicia y casi 10.000 en Catalunya Banc han sido resueltos y los ahorradores han podido recuperar su dinero. Como ven, con unos resultados positivos; el arbitraje ofrece una solución inmediata y a unos costes asequibles para los ahorradores, que evitan así tener que emprender un proceso judicial largo y costoso…”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atender a la situación de urgente necesidad de los pequeños ahorradores afectados, “este real decreto-ley … contiene dos medidas fundamentales: en primer lugar, se crea una Comisión de seguimiento al más alto nivel que estará presidida por la Presidenta de la Comisión Nacional del Mercado de Valores y cuya vicepresidencia corresponde al subgobernador del Banco de España … La citada Comisión tendrá como principales propósitos los siguientes: establecer las directrices de la ejecución de los procedimientos de arbitraje y hacer un seguimiento de los problemas sociales derivados de la comercialización de participaciones preferentes y otros instrumentos híbridos de capital … El Gobierno no pretende crear un órgano más sino que persigue que esta Comisión actúe como un verdadero organismo supervisor que ejerza un auténtico control de manera transparente y eficaz y, por eso, entre las funciones que se le han encomendado a esta Comisión están las siguientes: En primer lugar, analizar las causas que generan las reclamaciones judiciales y extrajudiciales relativas a la comercialización de instrumentos híbridos de las entidades controladas por el FROB; en segundo lugar y como muestra de que queremos que sea un órgano transparente, tendrá que informar de dichos procedimientos a esta Cámara trimestralmente, y, en tercer lugar, tendrá que elevar propuestas de mejora para la protección del inversor en la comercialización de este tipo de productos … En definitiva, señorías, con este real decreto-ley el Gobierno habilita una vía rápida y sencilla que tiene como prioridad aquellos ahorradores en circunstancias más vulnerables, bien por su situación familiar o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transcrito cabe deducir que la situación de urgencia a la que la presente norma pretende subvenir es la de atender a una problemática económica desfavorable, notoriamente conocida, que ha afectado a un gran número de personas, inversores minoristas, en su gran mayoría en situación de especial vulnerabilidad, que han sufrido las consecuencias negativas derivadas de una incorrecta comercialización de unos productos de inversión de carácter complejo, las participaciones preferentes y deuda subordinada, y que se han visto abocados a soportar especiales dificultades económicas para recuperar su inversión. Y ello, mediante fórmulas que tratan de hacer compatible la compensación de los afectados, con los planes de reestructuración de las entidades financieras, aprobados por la Comisión Europea, haciendo posible, por un lado, el establecimiento de un mecanismo para dotar de liquidez a los titulares de participaciones preferentes que reciban acciones en sustitución de éstas y, por otro, contemplando un cauce institucional de resolución de controversias a través del arbitraje, más rápido y menos costoso que los procedimientos judiciales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6/2013 tiene pues por objeto atender a lo que cabe calificar como una “coyuntura económica problemática”, en los términos expresamente aceptados por la doctrina constitucional, concretada en la instrumentación de medidas dirigidas a compensar las consecuencias negativas que han afectado a las inversiones realizadas por un conjunto de inversores minoristas, especialmente vulnerables, mediante la agilización de los procedimientos previstos para la recuperación de las cantidades invertidas.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transcrito, la definición de la extraordinaria y urgente necesidad, que justifica este Real Decreto-ley, es explícita y razonada, conforme al análisis externo que nos corresponde. Cabe afirmar pues que no estamos ante una descripción mediante fórmulas rituales o genéricas, aplicables a todo tipo de realidades de un modo intercambiable, sino ante una referencia a una concreta coyuntura económica, que afecta a la liquidez de las acciones que los tenedores de instrumentos híbridos de capital y deuda subordinada recibirán en canje de sus títulos, correspondientes a entidades emisoras que no cotizan en un mercado oficial, y que no tienen previsto hacerlo en el marco de los planes de reestructuración aprobados por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concretos reproches que los recurrentes formulan respecto a la definición de la situación de extraordinaria y urgente necesidad, no pueden, por tanto, ser acogidos. De un lado, la explicación razonadamente fundada de los argumentos que avalan el recurso a este instrumento legislativo extraordinario, permite desechar la calificación que le atribuyen los recurrentes, que consideran dicha justificación como “parca y exigua”; de otro, los propios recurrentes reconocen la existencia de una situación extraordinaria y urgente, al considerar que “solo la adopción de medidas dirigidas a hacer posible la devolución de lo invertido en estos productos de alto riesgo atendería a la situación de extraordinaria y urgente necesidad de los que invirtieron en participaciones preferentes y deuda subordinada”.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sobre el que se asienta el recurso no es pues, la negación de la existencia de esa situación de necesidad, sino la discrepancia respecto de las medidas adoptadas en la norma impugnada para subvenir dicha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precisamente ésa la discrepancia, y no tanto la constatación de las excepcionalidad de la situación, lo que se demandaría de este Tribunal no es sino un juicio sobre la oportunidad y suficiencia de las medidas reguladas para atender la situación de excepcionalidad planteada, pretensión que queda extramuros al control externo y objetivo del cumplimiento de los requisitos materiales previstos en el art. 86.1 CE, y que constituye el objeto propio de esta impugnación. Por otro lado, y como reiteradamente hemos tenido ocasión de señalar, “no corresponde al Tribunal Constitucional enjuiciar la oportunidad o conveniencia de la elección hecha por el legislador para valorar si es la más adecuada o la mejor de las posibles (entre otras muchas, STC 60/1991, de 14 de marzo, FJ 5), pues debemos respetar las opciones legislativas siempre que las mismas se ajusten al texto constitucional” (STC 198/2012, de 6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declarar que los órganos políticos, al explicitar la situación de extraordinaria y urgente necesidad a la que responde el Real Decreto-ley 6/2013, que es la de crear un cauce institucional que contribuya a agilizar los procedimientos dirigidos a la protección del inversor en la comercialización de esos productos financieros complejos, no hace un uso abusivo o arbitrario de la potestad normativa excepcional conferida al Gobierno, por lo que concurre, en el presente supuesto, la primera dimensión del presupuesto habilitante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segunda dimensión del presupuesto habilitante de la legislación de urgencia —conexión de sentido entre la situación de necesidad definida y las medidas que en el Real Decreto-ley se adoptan—, la demanda sustenta sus alegaciones, únicamente, en dos aspectos: por un lado, la creación de la comisión de seguimiento de instrumentos híbridos de capital y deuda subordinada, que efectúa el art. 1 del Real Decreto-ley, no precisa de una norma con rango de ley, por lo que su aprobación mediante el presente Decreto-ley es “innecesaria y desproporcionada”; y por otro, la creación de la mencionada comisión no implica avance alguno en la situaciones de los tenedores de participaciones preferentes, pues los mecanismos de gestión de estos productos híbridos ya estaban en marcha, fundamentalmente, a través de la Ley 9/2012, de 14 de noviembre, de reestructuración y resolución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medidas instrumentadas por el Real Decreto-ley 6/2013 van dirigidas a la aplicación de fórmulas que compatibilicen la compensación a los afectados por las inversiones en este tipo de instrumentos financieros, con la normativa comunitaria de ayudas al Estado y los planes de reestructuración de las entidades financieras, aprobados por la Comisión Europea. Para el cumplimiento de esta finalidad, el artículo 1 de la disposición impugnada contempla la creación de una comisión de seguimiento al más alto nivel, con el fin de establecer las directrices para la ejecución de los procedimientos de arbitraje y hacer un seguimiento de los problemas sociales derivados de la comercialización de participaciones preferentes y otros instrumentos híbridos de capital; es decir, un órgano que actúe como supervisor, y que eleve propuestas dirigidas a agilizar los procedimientos establecidos para la protección del inversor.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y regulación de la comisión no puede calificarse así de “innecesaria” o “desproporcionada”, pues supervisar, a través de un órgano independiente, las relaciones entre los inversores y comercializadores de estos productos financieros y el desarrollo de los procesos dirigidos a garantizar la protección de los inversores minoristas, prestando especial atención a los afectados que se encuentren en una situación de especial vulnerabilidad, así como proponer medidas o criterios alternativos que agilicen los procedimientos dirigidos a obtener la devolución de las cantidades procedentes, pueden considerarse instrumentos que contribuyen de manera efectiva a la introducción de “mejoras regulatorias” en los mecanismos de protección de quienes han resultado afectados por los errores en la comercialización de estos productos financieros, por lo que existen una conexión de sentido entre las medidas adoptadas y la concreta urgencia invocada. Hay pues una coyuntura económica problemática, que en el precepto examinado se pretende atender mediante la creación de un organismo encargado de velar por la transparencia del proceso, y la promoción de criterios dirigidos a favorecer la agilización, mediante el recurso a procedimientos arbitrales. Cabría recordar, a efectos analógicos, lo señalado en la reciente STC 142/2014, de 11 de septiembre, en la que se vino a considerar conforme con el orden constitucional de competencias, la previsión de la oficina de información, atención y arbitraje para el consumidor de productos energéticos, por vía de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concretas alegaciones formuladas por el recurrente, hemos de coincidir con el Abogado del Estado, en que no existe en nuestro Derecho la denominada reserva reglamentaria, y, en consecuencia, no hay impedimento constitucional para que una norma de rango legal —incluido el decreto-ley— pueda entrar en la regulación de materias que en principio no se encuentran reservadas a la ley. Como hemos señalado reiteradamente, “no cabe deducir de la Constitución la existencia de una reserva reglamentaria, de manera que el legislador no tiene vedada la regulación de materias que no le estén materialmente reservadas, de suerte que, dentro del marco de la Constitución y respetando sus específicas limitaciones, la ley puede tener en nuestro ordenamiento cualquier contenido y en modo alguno le está vedada la regulación de materias antes atribuidas al poder reglamentario” (por todas, STC 120/2014, de 17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la STC 33/2005, de 17 de diciembre, FJ 7, vino a reconocer expresamente que “nuestro sistema de fuentes no contempla reservas de reglamento, lo cual implica que a la ley no le está vedada la regulación de materias atribuidas anteriormente al poder reglamentario … Aunque en la mayoría de los supuestos nos hemos referido a leyes formales, esta doctrina también nos ha llevado en el pasado a aceptar la posibilidad de que los decretos-leyes eleven y congelen el rango normativo de materias que anteriormente estaban deslegalizadas (STC 60/1986, de 20 de mayo, FJ 2)”. En este pronunciamiento se viene a reconocer la aptitud del Decreto-ley para abordar una regulación que podría haberse incluido en una norma reglamentaria, siempre que la exigencia de sistematicidad en la regulación de la materia haga aconsejable su regulación conjunta a través del Decreto-ley, pues “lo que este Tribunal ha declarado inconstitucional, por contrario al art. 86.1, son las remisiones reglamentarias exclusivamente deslegalizadoras carentes de cualquier tipo de plazo [SSTC 29/1982, de 31 de mayo, FJ 6, y 29/1986, de 28 de febrero, FJ 2 c)], y no las habilitaciones reglamentarias relacionadas con cambios organizativos (STC 23/1993, de 13 de febrero, FJ 6) o necesarias, dada la imposibilidad técnica de proceder a una aplicación inmediata de los preceptos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en el presente supuesto, en el que la regulación que se aborda pretende adoptar un conjunto de medidas de amplio alcance, que exceden de lo que podría considerarse como un mero cambio organizativo. Suponen la creación de una comisión al más alto nivel, presidida por la Presidenta de la Comisión Nacional del Mercado de Valores y cuya vicepresidencia corresponde al Subgobernador del Banco de España, a la que corresponde hacer un seguimiento de los problemas derivados de la comercialización de participaciones preferentes y otros instrumentos híbridos de capital, informar de dichos procedimientos al Congreso de los Diputados con carácter trimestral, y elevar propuestas para la protección de inversor en la comercialización de este tipo de productos. Adicionalmente, corresponde, además a la comisión, determinar los criterios básicos que deberán emplear las entidades participadas por el Fondo de Reestructuración Ordenada Bancaria al objeto de ofrecer a sus clientes el sometimiento a arbitraje de las controversias que surjan en relación con los instrumentos híbridos de capital y trasladar dichos criterios al FROB, que dará las instrucciones necesarias para que sus entidades participadas los adopten; y la comisión adoptará los criterios anteriores en su reunión constitutiva y podrá revisarlos trimestralmente.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 sus órganos directivos, la transcendencia de las funciones que se atribuyen a la comisión y la inmediatez de las medidas a adoptar por la misma, ante “la inminente realización de los ejercicios de gestión de instrumentos híbridos de capital y deuda subordinada” —tal y como señala la exposición de motivos de la norma—, justifican en este supuesto, el recurso a una norma de naturaleza extraordinaria, como es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de las cuestiones planteadas, —que la creación de la mencionada comisión no implica avance alguno en la situaciones de los tenedores de participaciones preferentes, pues los mecanismos de gestión de estos productos híbridos ya estaban en marcha, fundamentalmente, a través de la Ley 9/2012, de 14 de noviembre, de reestructuración y resolución de entidades de crédito— cabe recordar que la Ley 9/2012, a la que hace referencia el texto de la demanda, no viene a establecer el marco normativo dirigido al seguimiento y control de los procedimientos arbitrales para la solución de controversias entre los tenedores de títulos y las entidades emisoras. Es la norma que se impugna la que viene a articular la necesidad de un cauce normativo formal, mediante la creación de un órgano del máximo nivel que supervise el proceso y que imponga a las entidades que han necesitado fondos públicos los criterios para llevar a cabo estos procedimientos arbitrales. Son pues los criterios fijados por la comisión de seguimiento de instrumentos híbridos de capital y deuda subordinada los que habrán de aplicarse por las entidades participadas por el FROB, para ofrecer a sus clientes el sometimiento a arbitraje de las controversias que surjan. Asimismo, corresponde a la comisión especificar los criterios para designar al colectivo de clientes cuyas reclamaciones, en atención a la especial dificultad de sus circunstancias personales o familiares, deberán recibir una tramitación prioritaria por parte de las entidades participadas por el FROB. Las anteriores funciones ponen por tanto de manifiesto que el art. 1 del Real Decreto-ley 6/2013 viene a innovar la situación jurídica preexistente, creando un marco institucional encargado de la supervisión del procedimiento arbitral y con incidencia directa en el proceso de reestructuración del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concluir, por todo lo señalado que, en relación con el art. 1 del Real Decreto-ley 6/2013, objeto de este proceso constitucional, el Gobierno ha aportado justificación suficiente que permite apreciar la existencia de la situación habilitante exigida por el art. 86.1 CE, y que las medidas adoptadas en el mencionado precepto guardan conexión de sentido con la situación de extraordinaria y urgente necesidad descrita en la norma.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3931-2013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desde el máximo respeto a la opinión expresada por la mayoría del Pleno, formulo el presente Voto particular discrepante por las razones que expuse durante la deliberación, y que resumo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criterio de la Sentencia en lo relativo a la concurrencia del presupuesto habilitante exigido por el art. 86.1 CE en el Real Decreto-ley 6/2013, de 22 de marzo, de protección a los titulares de determinados productos de ahorro e inversión y otras medidas de carácter financiero. Como tuve ocasión de manifestar durante la deliberación de esta Sentencia, entiendo que el artículo 1 de dicha norma no supera dicha exigencia y es, por tanto, contrario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y en relación específicamente con la falta de concurrencia del presupuesto habilitante exigido por el art. 86.1 CE me remito con carácter general al Voto particular formulado por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sin perjuicio de lo anterior, mi discrepancia alcanza también a un aspecto más concreto que creo que merecía una consideración distinta por parte de este Tribunal. Una de las quejas de los Diputados recurrentes se basaba en la consideración de que para la creación de la comisión prevista en el artículo 1 no era necesaria una norma con rango de ley, por lo que la aprobación del decreto-ley resultaba innecesaria y desproporcionada ya que una norma de rango reglamentario hubiera sido suficiente para conseguir el mismo efecto que logra el real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planteaba así una cuestión a la que el Tribunal no ha dado, en mi opinión, una respuesta clara, pues no creo que puedan considerarse tales las manifestaciones de la STC 60/1986, de 20 de mayo, FJ 2, ni tampoco las de la STC 332/2005, de 15 de diciembre, FJ 7. En ambos casos se examina la cuestión desde la perspectiva de la elevación de rango normativo de una materia que con anterioridad estaba deslegalizada, pero presentaba indudables conexiones con la regulación legal preexistente. En la segunda de ellas, aprecia que “debe reconocerse un amplio margen a los criterios de oportunidad a la hora de decidir el rango de las normas que disciplinan una actividad en los supuestos en que no entra en juego ninguna reserva de ley”, pero no sin antes señalar que “tal posibilidad puede constituir un indicio de la inexistencia de un supuesto de extraordinaria y urgente de necesidad”. Es más, en una de sus reflexiones, admite la constitucionalidad del art. 8.3 del Real Decreto-ley 7/2000, de 23 de junio, de medidas urgentes en el sector de las telecomunicaciones, con el argumento de que ese precepto no congelaba el rango normativo, afirmando que “En el caso del art. 8, cabe tener en cuenta, en cambio, que se modifican material y también formalmente determinados incisos de los arts. 3 y 13 del Real Decreto 1987/1985. Pero a diferencia de los dos preceptos anteriores, en este caso no se produce una congelación del rango, puesto que el propio art. 8.3 del Real Decreto-ley vuelve a deslegalizar inmediatamente la materia al prever que ‘Reglamentariamente se podrá modificar lo dispuesto en el presente artículo’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como la mera lectura de la STC 332/2005 pone de manifiesto, el Tribunal admite la posibilidad de regular por decreto-ley lo que antes era materia reglamentaria pero, en lo que ahora importa, la somete a límites, como la existencia de razones de conexión sistemática y oportunidad, permitiendo que “se aproveche la aprobación de un decreto-ley de carácter liberalizador para reformar aspectos reglamentarios que teóricamente tienen esta misma intención”.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esa conexión, en términos de exigencia de sistematicidad, exista aquí pues el Gobierno ha creado ex novo un órgano, la denominada comisión de seguimiento de instrumentos híbridos de capital y deuda subordinada, a la que atribuye determinadas funciones de informe, seguimiento y propuesta, en ningún caso ejecutivas, en relación con la situación en la que se encontraban los tenedores de las denominadas participaciones preferentes. Funciones de las que, por lo demás, la Sentencia de la que discrepo da cuenta con gran profusión descriptiva, exponiendo argumentos que, en todo caso, hubieran debido ser aportados por el autor de la norma y no por su juzgador.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 nuestra tarea de examinar si ese objetivo justificaba el recurso a la legislación de urgencia, creo que era necesario partir, como afirmación de principio, de que el ámbito de regulación del decreto-ley ha de ser el propio de la Ley, bien por tratarse de materias a ella reservadas o bien por serlo al haber sido regulada ya la cuestión en norma de ese rango. En suma, allí donde existe una ley para regular una materia es posible la intervención del legislador de urgencia, con respeto a los límites que derivan del art. 86.1 CE, pues tal precepto constitucional habilita que, con los requisitos en él previstos las decisiones del Gobierno desplacen lo dispuesto en las leyes. Es evidente que el hecho de que la potestad legislativa resida en las Cortes Generales no impide que el Gobierno esté constitucionalmente habilitado para dictar normas con rango de ley, pero tal posibilidad ha de tener presente que, en nuestro sistema, la inexistencia de espacios exentos a una posible regulación legal se predica del Parlamento y no creo que deba ser entendida en el sentido de aumentar acríticamente el campo de actuación del Gobierno en el uso de un instrumento normativo que, por su propia naturaleza, debería ser excepcional. No cabe en principio recurrir a esta forma normativa para regular materia que puede ser disciplinada por reglamento, que es la vía ordinaria del Gobierno para aprobar normas. El decreto-ley puede ser necesario para modificar una materia regulada por ley pero lo es menos en materias que tienen un mero nivel reglamentario, ya que la innovación normativa puede hacerse mediante reglamentos.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que únicamente es admisible la adopción de un decreto-ley si es inaplazable modificar una materia regulada mediante ley en un tiempo inferior al necesario para la aprobación de una ley formal por las Cortes Generales está, a mi juicio, sólidamente asentada en la doctrina del Tribunal. Como acertadamente indica la STC 237/2012, de 13 de diciembre, FJ 4, con cita de la STC 137/2011, de 14 de septiembre, FJ 4, “…no conviene olvidar que la Constitución reconoce a las Cortes Generales como ‘las depositarias de la potestad legislativa en su ejercicio ordinario’, ya que son ellas las que representan al pueblo español (art. 66.1 CE). El Gobierno ejerce la iniciativa legislativa, de conformidad con el art. 87.1 CE, por lo que la potestad que ostenta para dictar reales decretos-leyes, en virtud del art. 86.1 CE, se configura ‘como una excepción al procedimiento ordinario de elaboración de las leyes y en consecuencia está sometida en cuanto a su ejercicio a la necesaria concurrencia de determinados requisitos que lo legitiman’ (STC 29/1982, de 31 de mayo, FJ 1; doctrina que reitera la STC 182/1997, de 28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nuestra doctrina proporciona numerosos ejemplos de lo que expongo. Así, la STC 29/1982, de 31 de mayo, caracteriza al decreto-ley como “una excepción al procedimiento ordinario de elaboración de las leyes” (FJ 1). En el mismo sentido la STC 111/1983, de 2 de diciembre, se señala (FJ 4) que en el art. 86.1 CE “se admite y regula la figura del decreto-ley dentro del marco parlamentario y como instrumento equivalente en cuanto a su fuerza a la ley, y utilizable cuando una necesidad calificada por las notas de lo “extraordinario” y lo “urgente” reclama una acción normativa que, por lo ordinario, compete al legislador, pero que precisamente por esa necesidad, que no puede ser atendida por una acción normativa emanada de las Cortes Generales, se autoriza al Gobierno, con un carácter de provisionalidad hasta tanto obtiene la convalidación y, en su caso, la conversión en Ley, que dicen sucesivamente los apartados 2 y 3 del indicado artículo 86”. La STC 182/1997, de 28 de octubre, FJ 3, considera que el decreto-ley “supone la sustitución del Parlamento por el Gobierno, constituye una excepción al procedimiento legislativo ordinario y a la participación de las minorías que éste dispensa”. En fin, entre las más recientes, la STC 183/2014, de 6 de noviembre, FJ 4, señala que el fin de la norma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 En parecidos términos se pronuncia la STC 96/2014, de 12 de junio,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Soy consciente, pese a todo, de los límites que en todo momento han presidido la interpretación del art. 86.1 CE por parte de este Tribunal y que han hecho del nuestro un control externo que debe reconocer el peso que en la apreciación del supuesto de hecho habilitante de los reales decretos-leyes debe concederse al juicio puramente político (por todas, SSTC 29/1982, de 21 de mayo, FJ 3; y 189/2005, de 7 de julio, FJ 3). Estos límites deben presidir nuestro control jurídico centrado en el análisis de la motivación aportada por el Gobierno a la hora de reaccionar ante una situación que se entiende calificada por las notas de urgencia y extraordinaria necesidad, rechazando la definición que los órganos políticos hagan de una determinada situación únicamente en el caso que se trate de un uso abusivo o arbitrario de dicha facultad. El empleo de esta intensidad de control implica resolver sobre la previa decisión política que supone el recurso al decreto-ley atendiendo a criterios estrictamente jurídico-constitucionales, cimentados sobre la necesidad de determinar si se han respetado o no los requisitos exigidos en la Constitución para que el Gobierno pueda ejercitar la potestad normativa excepcional de dictar decretos-leyes. Para ello tomamos en consideración, especialmente, dos elementos, el control de los hechos de los que se ha inferido el presupuesto habilitante de la extraordinaria urgencia, así como la motivación o justificación de la necesidad de la concreta medida adoptada, directamente relacionada con la forma de responder a esos hechos que se califican de extraordinaria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tales parámetros de control, no cabe cuestionar que el decreto-ley sea una figura normalmente integrada en el sistema de fuentes del Derecho en la medida en que cuenta con reconocimiento constitucional expreso, pero, puesto que supone una excepción a la regla general del procedimiento legislativo ordinario, no puede presentarse como un recurso cuasi habitual de intervención normativa en manos del Ejecutivo. El decreto-ley es una norma dotada con fuerza y valor de ley pero no es equivalente a una ley formal del Parlamento, sino solamente, y no es poco, un producto del ejercicio de la potestad normativa extraordinaria que al Gobierno le reconoce la Constitución y sólo en los limitados términos allí previstos. En consecuencia, y sensu contrario, si el Gobierno puede atender la situación de urgencia con el ejercicio de las facultades normativas que le son propias, esto es, ejerciendo la potestad reglamentaria, no es constitucionalmente lícito que se sirva de facultades excepcionales que habilitan para dictar normas que valen como leyes únicamente en la medida estrictamente necesaria y determinada por la concurrencia de la situación de urgencia que constituye su presupuesto. Está en juego, nada más y nada menos, que la conveniencia de no alterar el orden constitucional normal de elaboración de las normas, impidiendo tanto que se soslaye el procedimiento ordinario de elaboración de las leyes a través de una utilización abusiva del decreto-ley, como que se utilice el privilegio de la ley en ámbitos materiales en los que ese uso no ha sido decidido por el propio legislador. De ahí la importancia de que esa potestad normativa excepcional que el Gobierno ostenta no se vea sometida a límites tan tenues que posibiliten su intervención en cualquier situación. A diferencia del legislador ordinario, el Gobierno no puede regular por decreto-ley cualquier materia y en cualquier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la consecuencia de lo anterior no puede ser otra que considerar que si a la urgencia acreditada de la adopción de una norma se provee suficientemente con la emanación de un real decreto, es decir, si el Gobierno puede subvenir a la situación de urgencia con el ejercicio de sus facultades normativas propias, las de regulación reglamentaria, no es constitucionalmente lícito que se sirva de facultades de las que sólo debe disponer cuando la intervención normativa necesaria lo es sobre un terreno ocupado por el legislador. Máxime cuando, como en el caso, no había quedado acreditado que el Gobierno no hubiera podido conseguir el mismo objetivo actuando a través de sus potestades ordinarias y en uso de uno de sus instrumentos típicos, como el reglamento. No es descartable, a priori, que un decreto-ley pueda regular materias previamente ordenadas mediante normas de rango reglamentario, pero creo que, en ese caso, es preciso que el Gobierno sea particularmente cuidadoso con la justificación de la concurrencia del presupuesto habilitante, en la medida en que resulta evidente que los reglamentos pueden ser, llegado el caso, normas de elaboración muy ágil.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esa razón no entiendo por qué aquí es posible, en términos constitucionales, acudir a la vía del tratamiento de esta cuestión en el decreto-ley, puesto que, entre otras razones, en este caso no se puede inferir la extraordinaria urgencia y necesidad como causa para impedir el ejercicio de la potestad reglamentaria en la respuesta a la situación planteada. Nota esta última de la necesidad de la regulación que en nuestra Constitución aparece reforzada con los caracteres de extraordinaria y urgente. Atendiendo a las circunstancias que examinábamos en la Sentencia, considero que no ha quedado acreditado que la urgencia de la situación que se trata de atender pudiera hacer ineficaz el ejercicio de la potestad reglamentaria, impidiendo la emanación de una norma de tal rango y exigiendo, por el contrario, la existencia de una norma de rango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la argumentación de la Sentencia, centrada en la inexistencia de una reserva reglamentaria, es irrelevante a estos efectos, pues no se trata de la ley ni del legislador que son quienes no tienen más limite respecto a lo que deciden regular que el respeto a la Constitución, sino de una norma excepcional, que no es ley, sino que se le equipara, y que es adoptada por quien no es el titular ordinario de la potestad legislativa, sino de la reglamentaria. En un caso como éste, resultaba preciso exigir al Gobierno, y no a la Sentencia, que hubiera siquiera explicitado las razones por las que ha acudido al rango legal para regular una cuestión que hubiera podido abordar en sede reglamentaria. Esto es, la exigencia de la urgente necesidad debería haber llevado a exigir al Gobierno que probase que la tramitación de un reglamento no permitía resolver dicha situación de urgencia, pues la prudencia que en estos casos ha de guiar el enjuiciamiento de este Tribunal no debe ser confundida con deferencia hacia el Ejecutivo. De hecho, nada se explica en las argumentaciones del Gobierno acerca de la necesidad, o simple conveniencia, de adoptar un instrumento normativo con rango de ley para la regulación de un órgano administrativo. Antes al contrario, la sustitución de la potestad reglamentaria por la legislación de urgencia y la consiguiente ocupación por el decreto-ley del espacio del reglamento afecta a valores protegidos constitucionalmente como la audiencia de los ciudadanos en la elaboración de disposiciones de carácter general [arts. 23 y 105 a) CE] o el control jurisdiccional de la actuación administrativa, con los evidentes perjuicios que de ello pueden derivar para la defensa de los derechos de los particulares ante la jurisdicción contencioso-administrativa (arts. 24 y 106 CE). A mi juicio, solo si se demuestra que el decreto-ley es un instrumento más idóneo que un simple real decreto desde el punto de vista de la urgencia reguladora, o se manifiesta motivadamente la intención de elevar el rango legal de la materia objeto de regulación el decreto-ley cumpliría los requisitos de idoneidad exigibles por la Constitución a esta forma extraordinaria de legislar.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construcción de la Sentencia, al no cuestionar la existencia de una situación de urgencia como la que constitucionalmente requiere el uso de la potestad prevista en el art. 86 CE, viene a dejar al arbitrio del Gobierno, sin límite alguno, la decisión de regular con valor de ley una materia que admite la disciplina reglamentaria. De hecho, lo que ha quedado acreditado en este supuesto es que al Gobierno le parecía conveniente regular esta cuestión por decreto-ley, pero no que fuera necesario hacerlo. Como puede advertirse, con esta forma de razonar, que la Sentencia convalida, la distinción entre lo necesario, que es lo exigible en términos del art. 86.1 CE, y lo simplemente conveniente, deviene en irrelevante.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las razones que acabo de exponer, estimo que difícilmente podía predicarse del art. 1 del Real Decreto-ley 6/2013 la justificación de la extraordinaria y urgente necesidad, con lo que hubiera sido preciso concluir que, en ejercicio de la competencia que al Tribunal Constitucional compete para controlar el uso abusivo del decreto-ley, dicho precepto no superaba el canon de verificación de la regularidad constitucional de la cláusula de la “extraordinaria y urgente necesidad”, por lo que debió ser declarada su inconstitucionalidad y consiguiente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inconstitucionalidad núm. 3931-2013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manifesté durante la deliberación del presente proceso constitucional, disiento de la decisión mayoritariamente adoptada. Dentro del máximo respeto hacia el parecer mayoritario de mis compañeros, entiendo que el fallo debió de declarar la nulidad del art. 1 del Real Decreto-ley 6/2013, de 22 de marzo, de protección a los titulares de determinados productos de ahorro e inversión y otras medidas de carácter financiero, por vulneración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ofrecer las razones en las que sustento esta discrepancia, no me parece impertinente destacar que el objeto del presente proceso constitucionalidad ha quedado ceñido al artículo1 de la norma combatida. A pesar de que la parte recurrente reprochó a la integridad del contenido normativo del Real Decreto-ley 6/2013 la inobservancia del presupuesto habilitante para el válido ejercicio por el Gobierno del poder normativo excepcional que le confiere el art. 86.1 CE, es lo cierto que las argumentaciones por ella formuladas se circunscribieron única y exclusivamente a aquel concreto pasaje legal. Como en su momento fue alegado por el Abogado del Estado y ahora confirma la Sentencia de la mayoría (FJ 2), aplicando una consolidada jurisprudencia de este Tribunal, a las impugnaciones genéricas de normas con rango de ley, privadas de fundamentación suficiente, no cabe reconocerlas la capacidad de desvirtuar la presunción de constitucionalidad que tales normas poseen. En consecuencia, mi disenso sobre la decisión adoptada en la parte dispositiva, en la que se desestima el presente recurso de inconstitucionalidad, ha de entenderse complementada con la interpretación que el fundamento jurídico 6 hace del propio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en contra de lo que pudiera parecer en una primera impresión, el anterior recordatorio adquiere, como tendré ocasión de razonar más adelante, una notable relevancia, ya que viene a introducir una insoslayable exigencia de congruencia procesal entre el objeto del recurso, tal y como el mismo ha sido delimitado, y el canon o parámetro de obligado uso para su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dictado por el Gobierno de una norma que, pese a no proceder del único órgano al que corresponde, en un Estado democrático de Derecho, la titularidad originaria del poder legislativo, tiene rango y fuerza de ley se encuentra sujeto a un serie de límites, destinados todos ellos a garantizar el uso adecuado y no abusivo de este poder normativo excepcional. En lo que ahora interesa destacar, un singular relieve ha de atribuirse al concurso de una particular situación, constitucionalmente calificada como “extraordinaria y urgente necesidad”. Conforme se encargó de precisar este Tribunal desde sus momentos fundacionales, esta noción no constituye “una expresión vacía de contenido” dentro de la cual pueda moverse sin restricción alguna el Gobierno (STC 29/1982, de 31 de mayo, FJ 3); se trata, antes al contrario, de un requisito dotado de un contenido complejo, que se erige adicionalmente como presupuesto habilitante del ejercicio regular de esta potestad y cuya ausencia, tras la obligada verificación por la jurisdicción constitucional, determina la nulidad de la norma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recuerda el fundamento jurídico 3 de la Sentencia de la mayoría, la validación constitucional de una norma aprobada al amparo de lo establecido en el art. 86.1 CE queda sujeto a un doble escrutinio. El primero consiste en la identificación por el Gobierno de manera clara, explícita y razonada de la concurrencia de la extraordinaria y urgente necesidad, determinante de la aparición del presupuesto que le habilita para dictar con carácter ocasional unas normas dotadas, como ya se ha hecho constar, de los atributos del rango y de la fuerza propios de las leyes formales. El segundo se concreta en la existencia de una conexión de sentido o relación de adecuación entre esa singular situación y las medidas contenidas en la norma de urgencia, de modo que éstas, como igualmente ha razonado la jurisprudencia constitucional, han de guardar “una relación directa o de congruencia con la situación que se trata de afrontar” (STC 182/1997, de 28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se traduce, precisamente, en relación con la aplicación que el parecer mayoritario efectúa del primero de los escrutinios de necesario empleo para verificar la concurrencia de la extraordinaria y urgente necesidad en relación con el único precepto legal contestado. En todo caso, una exacta inteligencia de los razonamientos conducentes a fundamentar con la obligada consistencia jurídico-constitucional la violación denunciada por la recurrente y rechazada por la presente resolución pide, como preliminar útil, efectuar dos observaciones.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y como ha tenido oportunidad de señalar la jurisprudencia constitucional (entre otras muchas SSTC 29/1989, de 31 de mayo, FJ 4; 182/1997, de 28 de octubre, FJ 4; 11/2002, de 17 de enero, FJ 4, y 137/2003, de 3 de julio, FJ 3), la justificación formal de la presencia de la urgente y extraordinaria necesidad puede haber quedado reflejada y, por consiguiente, deducirse del examen de la exposición de motivos de la norma, del debate parlamentario de su convalidación y del propio expediente de elaboración de la misma, señaladamente de la memoria. En el caso ahora a discusión, la Sentencia de la que discrepo invoca tanto la exposición de motivos del Real Decreto-ley 6/2013 como los argumentos expuestos por el Ministro de Economía y Competitividad durante el debate de su convalidación (FJ 4). Por consiguiente, la existencia o no de la explicitación formal de la urgente y extraordinaria necesidad ha de inferirse de estas dos fuentes, sin necesidad de manejar ninguna otra.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y como dijera la STC 68/2007, de 28 de marzo, FJ 7, —y entro en la segunda observación— las razones explicativas de la urgente y extraordinaria necesidad pueden clasificarse en dos grandes grupos: básicas e instrumentales. La diferencia entre uno y otro reside en su ámbito de afectación: mientras la básica ofrece la motivación genérica o general, aplicable a la norma de urgencia en su conjunto, las razones instrumentales pretenden justificar la presencia del presupuesto habilitante en relación con los bloques normativos en que dicha norma se estructura.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línea de coherencia con esta exigencia, en aquellos casos en los que, como sucede en el aquí examinado, la censura de la ausencia de la extraordinaria y urgente necesidad se vierte no sobre la norma en su totalidad sino, de manera más restringida, sobre el precepto que se encarga de regular una concreta medida, cual es la creación de la denominada “Comisión de seguimiento de instrumentos híbridos de capital y deuda subordinada”, perfectamente diferenciada de las restantes que fueron finalmente incorporadas al contenido normativo del Real Decreto-ley censurado, el juicio sobre la justificación de la motivación ha de resultar plenamente congruente con el objeto del proceso. Y es ésta congruencia la que, como he de razonar en breve, ha sido relegada por la sentencia de la que me aparto, que termina descartando la violación denunciada mediante razonamientos de dimensión general, extensibles, sin matización alguna, a todo el articulado del Real Decreto-ley 6/2013; o, por expresar la misma idea desde otro alguno, de imposible predicamento al único pasaje legal aquí discutido.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argumentación utilizada por la Sentencia de la mayoría a fin de razonar la observancia por el Gobierno del requisito consistente en la explicitación formal del presupuesto habilitante para el ejercicio de ese poder legislativo excepcional regulado por el art. 86.1 CE se basa en una doble y combinada confusión.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equivocación reside en deducir el concurso de esta formalidad de una inteligencia en la que se renuncia a articular distinción alguna entre dos tipos de alegatos: de un lado, el alusivo a los objetivos de la norma impugnada y al contenido de las reglas, primarias o secundarias, instituidas por la misma y, de otro, el referente a la justificación de las razones que amparan la urgente y extraordinaria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equívoco se detecta sin esfuerzo alguno del análisis que la Sentencia objetada lleva a cabo del preámbulo de la norma censurada, del que se infiere la pertinente explicitación del presupuesto habilitante mediante el auxilio de tres concretas referencias de las que solo a una de ellas, la mencionada en último lugar, puede reconocérsela, con un mínimo de rigor no solo sistemático sino, más sencillamente, lexicológico, una función justificativa de la existencia de la urgente y extraordinaria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de esas referencias, en efecto, se limita a transcribir un inciso del párrafo tercero del apartado II del preámbulo, dedicado a describir el objeto del art. 1 (recte: del capítulo I) del Real Decreto-ley 6/2013, que es el que regula la ya citada comisión de seguimiento. La segunda de las menciones reproduce el párrafo tercero del apartado I, que declara ser necesario, de una parte, “hacer un seguimiento de las eventuales reclamaciones que los clientes pueden dirigir a las entidades financieras por razón de la comercialización de estos productos complejos” y, de otra, “facilitar en determinados casos mecanismos ágiles de resolución de controversias, principalmente por medio de arbitraje”. Una inteligencia meramente literal de esta expresión —“resulta necesario”— evidencia, sin sombra alguna de vacilación, que su propósito no reside en identificar formalmente los motivos que aportan consistencia constitucional al presupuesto habilitante; con bastante menor ambición, su pretensión es dotar de visibilidad material al doble objetivo que cumple la propia norma aprobada. En resumen, el giro gramatical empleado no confiere a la actividad de seguimiento de las reclamaciones judiciales o extrajudiciales promovidas por los afectados por la comercialización de unos concretos productos financieros de las notas de urgencia e inmediatez; su finalidad va dirigida a declarar que dicha actividad ha de estar revestida con los atributos propios de las reglas imperativas, y no ya de las meramente programáticas, instrumentadas mediante una variada gama de vías, reconducibles a fórmulas del derecho suave u orientativo (soft law). En fin, solamente la tercera de las citas del preámbulo traídas a colación, contenida en la parte de cierre de la exposición de motivos, puede proporcionar, con criterios de razonabilidad, cierto fundamento y sostén de la concurrencia de una urgente y extraordinaria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concreta aclaración reza del tenor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anteriores se enmarcan en un contexto de urgente y extraordinaria necesidad derivado de la inminencia de sus efectos sobre el proceso de reestructuración de entidades de crédito acometido en España, y para el cumplimiento de los compromisos adquiridos de conformidad con el Memorando de Entendimiento firmado para la asistencia financiera europea a la citada reestructuración.”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se confiesa de manera paladina, la urgente y extraordinaria necesidad, justificativa del dictado del Real Decreto-ley 6/2013, trae causa en la vinculación existente entre los efectos de las medidas que la norma regula y el proceso de reestructuración de las entidades financieras, en buena parte sustentado por decisiones adoptadas en el ámbito de la Unión Europea. Es esta confesión la que conduce de manera directa, a la Sentencia de la mayoría, a la segunda equivocación.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tenido oportunidad de recordar, la jurisprudencia de este Tribunal exige que, cuando la presunta ausencia del presupuesto habilitante ex art. 86.1 CE se refiera no a la totalidad del articulado de la norma de urgencia sino, con menor extensión, a un singular precepto o a una pluralidad de preceptos, la verificación del concurso de este requisito ha de ser deducido de una particularizada explicitación, no superando el oportuno escrutinio el recurso a razonamientos de carácter genérico. Tal es, precisamente, la segunda confusión en que incurre la resolución de mi discrepancia, tal y como se infiere de la lectura del texto que se viene de reproducir.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sumarias alusiones que en el mismo se efectúan despliegan, en efecto, un alcance global. Así se confirma de manera indubitada de la simple lectura de la locución con la que se inicia el texto evocado, que no utiliza una fórmula en singular sino en plural; a saber: “las medidas anteriores”. A la luz de esta literalidad, la tarea de inferir de este concreto pasaje de la exposición de motivos una justificación formal que permita detectar una situación de urgente y extraordinaria necesidad en la creación de la comisión de seguimiento de los instrumentos de capital y deuda subordinada carece del menor soporte interpretativo; es el resultado, antes al contrario, de un alegato voluntarista, bien alejado de la doctrina elaborada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vez intentada, sin la debida densidad argumentativa, la demostración de que el preámbulo surte la obligada explicitación formal del presupuesto que habilita ex art. 86.1 CE la aprobación por el Gobierno de una norma con rango y fuerza de ley —en el caso a discusión, el Real Decreto-ley 6/2013—, la Sentencia de la que me separo, en ese mismo fundamento jurídico 4 y sin solución de continuidad, se empeña en completar esta tarea justificativa mediante el examen de los argumentos expuestos por el Ministro de Economía y Competitividad, con ocasión del debate de convalidación habido, en fecha 11 de abril de 2013, en el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lo razonado en relación con la anterior fuente de análisis, con la exposición de motivos de la norma impugnada, el escrutinio que la Sentencia lleva a cabo respecto de esta segunda fuente ya no incurre en la denunciada doble confusión. Y no lo hace por una sencilla razón; a saber: por cuanto la totalidad de las argumentaciones suministradas por el Sr. Ministro y ahí reproducidas constituye una simple narración de los objetivos perseguidos con el dictado de la norma de urgencia así como de las medidas que la propia norma incorpora a su articulado.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mera manifestación de objetivos responden, de manera ejemplar, los dos primeros párrafos que se traen a colación, en los que el interviniente en el debate parlamentario asigna a la norma que presenta, entre otras, las siguientes finalidades: i) avanzar (“dar un paso más”) en el conjunto de iniciativas adoptadas por el Gobierno “para proteger a los pequeños ahorradores que han sufrido la mala comercialización de unos productos de inversión de gran complejidad”; ii) buscar fórmulas que compatibilicen la compensación a los afectados por esa comercialización con la normativa comunitaria de ayudas al estado, los planes de reestructuración y resolución de las entidades financieras, aprobados por la Comisión Europea; iii) respetar el “principio de reducir el coste para el contribuyente” y, por último, iv) impulsar “unos procedimientos de arbitraje para dirimir las controversias derivadas de la comercialización de participaciones preferentes y deuda subordinada”, procedimientos éstos que, a su juicio, ofrecen “una vía rápida, eficaz y menos costosa” que los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su lado, es el tercero de los párrafos que transcriben el alegato del responsable político del Departamento de Economía y Competitividad el que procede a delimitar el contenido normativo del Real Decreto-ley 6/2013, enunciando al efecto “dos medidas fundamentales” una de las cuales, en lo que aquí interesa hacer constar, reside precisamente en la creación “de una Comisión de seguimiento al más alto nivel que estará presidida por la Presidente de la Comisión Nacional del Mercado de Valores y cuya vicepresidencia corresponde al Subgobernador del Banco de España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esta declaración, la intervención oral a enjuiciamiento se detiene a enumerar “las funciones que se le han encomendado a esta Comisión”, citándose, de entre las mencionadas de manera expresa en el artículo 1.2 de la norma de urgencia, tres en concreto: analizar las causas que generan las reclamaciones judiciales y extrajudiciales relativa a la tan citada comercialización; informar trimestralmente al Congreso de los Diputados y, en fin, elevar propuestas de mejora para la protección del inversor. Por lo demás, la exposición del sr. Ministro se cierra con la siguiente conclusión: “en definitiva, señorías, con este Real Decreto-ley el Gobierno habilita una vía rápida y sencilla que tiene como prioridad aquellos ahorradores en circunstancias más vulnerables, bien por su situación familiar o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puede deducirse de una superficial lectura de las diferentes partes del discurso reproducido por la Sentencia de mi disentimiento, la intervención del representante gubernamental prescinde por completo de ofrecer una justificación, incluso de manera muy indirecta o colateral, de los motivos que pudieran haber amparado el ejercicio por el Gobierno del poder legislativo excepcional contemplado en el art. 86.1 CE. La integridad del discurso transcrito —y es esta una conclusión extensible sin reserva alguna a la parte no manejada— no otro propósito tiene que el proporcionar cobertura política a la decisión normativa adoptada, cobertura ésta que en modo alguno puede satisfacer los requerimientos constitucionales. En ese discurso, en suma, no es posible vislumbrar el menor intento o el más liviano empeño por explicitar la concurrencia de una necesidad urgente y extraordinaria en la constitución de la tan mencionada comisión de seguimiento.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obligada conclusión que es dable obtener de los razonamientos que se vienen de exponer es de fácil enunciado: la adopción por el Gobierno del Real Decreto-ley 6/2013 ha vulnerado de manera frontal el requisito que, en el decir de la doctrina de este Tribunal, actúa como presupuesto habilitante del dictado de un poder legislativo excepcional; esto es, la explicitación formal de la urgente y extraordinaria necesidad. Incumplido este primer requisito, no es ya necesario entrar a examinar la existencia de una conexión de sentido entre dicho presupuesto y la creación de una comisión de seguimiento de instrumentos híbridos de capital y deuda subsidiaria.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expuesto, entiendo que la presente Sentencia debió declarar inconstitucional y nulo el art. 1 del Real Decreto-ley 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