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6066-2012, interpuesto por la Junta de Extremadura contra los arts. 1 a 4 y la disposición derogatoria única del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octubre de 2012, la Letrada de la Junta de Extremadura, en nombre y representación de la Comunidad Autónoma de Extremadura, presentó escrito de interposición de recurso de inconstitucionalidad contra los arts. 1 a 4 y la disposición derogatoria única del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consideraciones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comienza exponiendo el marco regulador de la producción de energía eléctrica en régimen especial (renovables y cogeneración), sobre cuyo régimen retributivo incide el Real Decreto-ley 1/2012, de 27 de enero, con alusión a lo previsto en el art. 30 de la Ley 54/1997, de 27 de noviembre, del sector eléctrico, el Real Decreto 661/2007, de 25 de mayo, el Real Decreto 1578/2008, de 26 de septiembre, y el Real Decreto-ley 6/2009, de 30 de abril, así como la Directiva 2009/28/CE, del Parlamento Europeo y del Consejo, de 23 de abril de 2009, sobre fomento del uso de energía procedente de fuentes renovables, y el Plan de acción de energías renovables de España 2011-2020 (que sucede al Plan de fomento de energías renovables en España 2000-2010).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el recurso que el Real Decreto-ley 1/2012 establece, respecto de las instalaciones de producción de energía eléctrica en régimen especial que el 28 de enero de 2012 (fecha de entrada en vigor del Real Decreto-ley 1/2012) no estuvieran inscritas en el registro de preasignación de retribución, así como de las instalaciones en régimen ordinario con derecho a percibir los incentivos económicos del Real Decreto 661/2007 que a la misma fecha no dispusieran de autorización administrativa previa, las siguientes medidas: i) Supresión de los incentivos económicos (tarifas reguladas, primas y complementos) regulados en el Real Decreto 661/2007 y el Real Decreto 1578/2008; ii) Suspensión de la tramitación del procedimiento de inscripción en el registro de preasignación de retribución regulado en el Real Decreto-ley 6/2009 y en el Real Decreto 1578/2008, con algunas particularidades respecto de los expedientes iniciados y en relación con los cuales el plazo de la Administración para resolver estuviese vencido.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el Real Decreto-ley 1/2012 ofrece a los titulares inscritos en el registro de preasignación la posibilidad de renunciar a la misma, con devolución de los avales depositados en el plazo de dos meses desde la entrada en vigor del Real Decreto-ley (28 de enero de 2012), en caso de que no deseen ejecutar la instalación y siempre que el plazo de inscripción definitiva y venta de energía no hubiera vencido. Además, el Real Decreto-ley 1/2012 deroga el régimen establecido en el Real Decreto 661/2007 en relación con las modificaciones sustanciales de instalaciones (arts. 4.4 y 4 bis), de manera que cualquier modificación de una instalación de régimen especial inscrita en el registro de preasignación podría hacerle perder su régimen económico primado, salvo que estuviera autorizada en una fecha anterior a la entrada en vigor del Real Decreto-ley 1/2012 en los términos regulados en el art. 4 del Real Decreto 661/2007.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Razonado lo anterior, y como aspecto procesal de carácter previo, se hace constar que el recurso no se interpone por razones ligadas a la estricta materia competencial, lo que no es obstáculo a la legitimación de la Comunidad Autónoma, como se deduce de las SSTC 25/1981, 84/1982, 63/1986, 74/1987, 56/1990 y 194/2004, entre otras. En aplicación de la doctrina allí contenida, la Junta de Extremadura entiende que, sin perjuicio de que concurran los títulos competenciales estatales invocados en la disposición final primera del Real Decreto-ley 1/2012 (bases y coordinación de la planificación general de la actividad económica ex art. 149.1.13 CE, y bases del régimen energético ex art. 149.1.25 CE), el Real Decreto-ley impugnado afecta de manera significativa a las competencias de la Junta de Extremadura enunciadas en los apartados 7, 33 y 37 del Estatuto de Autonomía de Extremadura (“fomento del desarrollo económico y social de la Comunidad Autónoma dentro de los objetivos de la política económica nacional”, “políticas y normas adicionales y complementarias de las del Estado en materia de protección medioambiental y lucha contra el cambio climático”, e “instalaciones de producción, almacenamiento, distribución y transporte de energías de cualquier tipo en su territorio, incluida la eléctrica cuando el aprovechamiento de ésta no afecte a otras Comunidades Autónomas”, respectivamente), en relación con lo dispuesto en los arts. 7 (apartados 5, 7 y 9) y 12 del propio Estatuto. Según el recurso, al suprimir el Real Decreto-ley 1/2012 el régimen económico primado de las instalaciones de producción de energía eléctrica en régimen especial, se afecta de manera directa e inmediata a un importante sector económico y productivo —el de las energías renovables y de cogeneración— estratégico para el desarrollo de la Comunidad Autónoma extremeña. Se impediría así el avance del modelo energético previsto en el Acuerdo para el desarrollo energético sostenible de Extremadura 2010-2020, enmarcado dentro de las políticas europea y nacional en materia de planificación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Expuesto cuanto antecede, el recurso desarrolla los dos motivos de impugnación en los que fundamenta la inconstitucionalidad de los arts. 1 a 4 y la disposición derogatoria única del Real Decreto-ley 1/2012: la inexistencia del presupuesto habilitante que exige el art. 86.1 CE para la regulación de una materia mediante decreto-ley y la lesión del principio de confianza legítima como manifestación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 vulneración del art. 86.1 CE, tras exponer la doctrina constitucional al respecto (se citan específicamente las SSTC 29/1982, 182/1997, 11/2002, 31/2011 y 1/2012), la representación procesal de la Junta de Extremadura sostiene que el Real Decreto-ley 1/2012, al fijar disposiciones que no guardan relación directa con la situación que se trata de afrontar (déficit tarifario del sistema eléctrico), no satisface 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argumentos que se contienen en la exposición de motivos del Real Decreto-ley 1/2012 para justificar la adopción de las medidas acordadas (supresión de los incentivos económicos a la producción de energía eléctrica en régimen especial y suspensión de la tramitación del procedimiento de inscripción en el registro de preasignación de retribución), así como a lo manifestado por el Ministro de Industria, Energía y Turismo en el trámite de convalidación del Real Decreto-ley, señala la Junta de Extremadura que no puede entenderse que exista una situación de extraordinaria y urgente necesidad; se refiere a un periodo ya finalizado y el déficit de tarifa no se configura como una circunstancia imprevista o sobrevenida, ni siquiera agravada, sino como un problema conocido desde hacía años, que había motivado la adopción de distintas medidas para corregirlo. Además, el Real Decreto-ley 1/2012 ni soluciona el problema del déficit tarifario, ni tiene una eficacia inmediata y directa en su eliminación, pues no afecta a las instalaciones ya inscritas en el registro de preasignación de retribución, por lo que los costes estimados del sistema eléctrico para el año 2012 no se ven afectados por las medidas que se adoptan en él. A ello se añade que no se trata de costes definitivos, sino hipotéticos o estimados, dado que es posible que, a pesar de la inscripción previa en el registro de preasignación, no tenga lugar la inscripción definitiva porque el solicitante desista voluntariamente de la tramitación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segundo de los motivos de inconstitucionalidad aducido es el relativo a la vulneración del principio de confianza legítima como manifestación del principio de seguridad jurídica que garantiza el art. 9.3 CE (en conexión con el valor superior de justicia proclamado por el art. 1.1 CE). En el recurso se expone, con cita de doctrina constitucional al respecto, que el principio de seguridad jurídica tiene una vertiente objetiva, relativa a la certeza del derecho, y otra vertiente subjetiva, relativa a la previsibilidad de los efectos de su aplicación por los poderes públicos, siendo un valor constitucional asegurar la protección de la confianza de los ciudadanos, que ajustan su conducta económica a la legislación vigente, frente a cambios normativos que no sean razonablemente previsibles. A juicio de la recurrente, el grado de incertidumbre que el Real Decreto-ley 1/2012 genera impide el ejercicio de cualquier actividad de planificación necesaria para una adecuada instrumentación de la ejecución de la política energética de la Junta de Extremadura y para los operadores privados que han apostado por las energías renovables. En la medida en que no era previsible la eliminación sorpresiva y sine die de todos los incentivos económicos a las energías renovables, no se respeta el principio de confianza legítima. El Real Decreto-ley 1/2012 no afecta únicamente a aquellos que han adecuado su actuación económica al régimen jurídico vigente hasta su entrada en vigor en aras a la solicitud de inscripción en el registro de preasignación de retribución; incide también sobre aquellos promotores que ya la han formulado, de modo que la suerte de sus solicitudes depende de un hecho ajeno a su actuación, como es la celeridad de la Administración a la hora de resolver esas solicitudes. En suma, la alteración por el Real Decreto-ley 1/2012 del marco regulatorio preexistente no solo ha dificultado a los agentes la necesaria planificación de su conducta a medio y largo plazo; el cambio se ha producido de forma brusca e imprevisible, frustrando repentinamente y sin apenas margen de reacción las expectativas generadas por la regulación anterior, a la que los promotores habían acomodado su conducta en la confianza legítima de que el esfuerzo económico realizado era necesario para tener acceso al régimen retributivo establecido en la normativa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noviembre de 2012, el Pleno, a propuesta de la Sección Segunda, acordó admitir a trámite el recurso de inconstitucionalidad y, conforme establece el art. 34 de la Ley Orgánica del Tribunal Constitucional (LOTC), dar traslado de la demanda para personación y alegaciones al Congreso de los Diputados, al Senado y al Gobierno.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19 de noviembre de 2012, el Abogado del Estado comparece en el proceso en la representación que legalmente ostenta para que el Tribunal le tenga por personado en el recurso de inconstitucionalidad, al tiempo que solicita una prórroga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mediante diligencia de ordenación de 20 de noviembre de 2012, acordó tener por personado al Abogado del Estado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23 de noviembre de 2012, el Presidente del Congreso de los Diputados comunicó el acuerdo de la Mesa de la Cámara de personarse en el procedimiento y ofrecer su colaboración a los efectos del art. 88.1 LOTC. Lo mismo hizo el Presidente del Senado, por escrito que tuvo entrada en este Tribunal el 28 de noviembre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interesando la desestimación del recurso de inconstitucionalidad planteado por la Junta de Extremadura, tuvo entrada en este Tribunal el día 20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da respuesta en primer lugar a la impugnación fundada en la infracción del art. 86.1 CE. En primer lugar, sostiene que los motivos que legitiman la utilización del Real Decreto-ley 1/2012 han sido adecuadamente expuestos por los órganos políticos y justifican la concurrencia del presupuesto habilitante de la extraordinaria y urgente necesidad que exige el art. 86.1 CE. Ante todo por cuanto, en el marco de la crisis económica, de la que dan fe distintos informes del Banco de España (años 2008 a 2011), que se citan, el déficit tarifario del sistema eléctrico al que se refiere la exposición de motivos del Real Decreto-ley 1/2012 se erige en un problema que afecta a la sostenibilidad económica del sistema eléctrico. Asimismo se afirma que las primas de régimen especial que pretende limitar el citado Real Decreto-ley no son ajenas a la gravedad del incremento del déficit tarifario o déficit estructural de ingresos de actividades reguladas, que aumenta exponencialmente desde el año 2004. En este contexto, el Abogado del Estado señala que la urgencia de la medida se justifica en la exposición de motivos del Real Decreto-ley al afirmarse la necesidad de supresión del déficit tarifario y señalar además que “en este momento se encuentran pendientes de resolución las cuatro convocatorias de preasignación fotovoltaica correspondientes al año 2012, por una potencia cercana a los 550 MW. En efecto, la inevitable dilación en el tiempo de la adopción de esta medida que supondría su tramitación por el cauce normativo ordinario determinaría, inevitablemente, la entrada en el sistema de 550 MW fotovoltaicos adicionales y el riesgo de un efecto llamada para aquellas tecnologías cuyos objetivos no han sido cubiertos: Cogeneración, biomasa, biogás, hidráulica y residuos”. Las anteriores afirmaciones se completan con las explicaciones ofrecidas por el Ministro de Industria, Energía y Turismo en el trámite de convalidación del Real Decreto-ley, que el Abogado del Estado transcribe; a ello se añade la alegación de la existencia de un fuerte desequilibrio entre oferta y demanda de energía, habiendo sido superados con creces los objetivos del Plan de energías renovables 2005-2010. Es apreciable un exceso de potencia instalada, lo que incide negativamente en el incremento del déficit, porque las previsiones de costes, en parte asociadas al sistema de primas, no quedan cubiertas con los ingresos previstos; esto frena el ritmo de crecimiento de la acumulación de ese déficit, contribuyendo a dar solución al déficit que ya se ha venido acopiando. El informe de la Comisión Nacional de Energía de 7 de marzo de 2012, que igualmente cita el Abogado del Estado y adjunta a su escrito de alegaciones, estima que, de no haberse adoptado medida alguna, hubiera sido necesario incrementar los peajes (precio de la electricidad) en torno a un 10 por 100 entre el año 2012 y el 2015; lo cual sería difícilmente sostenible para los consumidores y no financiaría la totalidad del déficit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ideas expuestas, la Abogacía del Estado contesta a los argumentos de la demanda afirmando que la justificación que se ofrece por el Gobierno sobre la situación de urgencia apreciada es suficiente. El Real Decreto-ley 1/2012 no adopta medidas desreguladoras. Queda dentro de los márgenes descritos en la jurisprudencia constitucional, particularmente en la STC 1/2012; impone una innovación normativa de efectos inmediatos, al suspender los procedimientos de inscripción en el correspondiente régimen que estuvieran en curso a la entrada en vigor de la norma de urgencia y al suprimir las primas de forma tan inminente como permite el respeto a la confianza legítima de quienes ya hubieran obtenido la autorización para operar en el régimen especial correspondiente. La previsibilidad del déficit tarifario en nada obsta a la adopción de la medida porque concurría una evidente urgencia (cita los AATC 179/2011, de 13 de diciembre, FJ 6; y 35/2012, de 14 de febrero, FJ 3), siendo así que además no resultaba previsible el crecimiento de la deuda acumulada tras la adopción de las medidas de los años 2009 y 2010; además, la supresión del régimen primado, frente a lo que afirma la Junta de Extremadura, tiene una incidencia relevante en la progresiva eliminación del déficit tarifario, sin perjuicio de que otras medidas también hubieran podido coadyuvar a la reducción del mismo. En conclusión, los órganos políticos habrían exteriorizado y justificado la concurrencia del presupuesto habilitante de la extraordinaria y urgente necesidad que exige el art. 86.1 CE para acudir al instrumento del Decreto-ley, según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responde, por último, a la impugnación fundada en la vulneración del principio de seguridad jurídica (art. 9.3 CE). Señala en primer lugar que en algunos pasajes de la demanda parece imputarse al Real Decreto-ley 1/2012 una retroactividad proscrita por el art. 9.3 CE. Se recuerda al respecto la doctrina constitucional, que precisa que esta prohibición se refiere a las limitaciones introducidas en el ámbito de los derechos fundamentales y de las libertades públicas, o en la esfera general de la protección de las personas (entre otras, SSTC 90/2009, de 20 de abril, FJ 4; y 100/2012, de 8 de mayo, FJ 10). Por ello no resultaría de aplicación a una norma que aspira simplemente a suprimir las ayudas a determinadas instalaciones de generación eléctrica y que, por tanto, no tiene carácter sancionador ni limita o restringe la esfera de libertades o derechos del título 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argumento se añade que el Tribunal [con cita de las SSTC 227/1988, de 29 de noviembre; 182/1997, de 28 de octubre, FJ 11 d); 234/2001, de 13 diciembre, FJ 8; 112/2006, de 5 de abril, FJ 17, y 100/2012, de 8 mayo, FJ 10] también ha declarado repetidamente que la retroactividad que el art. 9.3 CE prohíbe es la “auténtica o de grado máximo”. Por el contrario la “retroactividad impropia o de grado medio”, definida como la incidencia en “situaciones jurídicas actuales aún no concluidas”, no estaría sujeta a la prohibición; aunque sí podría tener relevancia constitucional desde la perspectiva de la protección de la seguridad jurídica. En este sentido, en la medida en que el Real Decreto-ley 1/2012 sólo incide en los proyectos de instalación que todavía no han ingresado en el régimen especial primado por no haber sido inscritos en el registro de preasignación de retribución (art. 4.1 del Real Decreto-ley 6/2009 y art. 4.1 del Real Decreto 1578/2008) y a las de régimen ordinario que a la entrada en vigor del Real Decreto-ley 1/2012 no dispusieran de autorización administrativa, la disposición impugnada no produce ningún tipo de retroactividad, ni propia ni impropia. Solo rige respecto de relaciones jurídicas que todavía no han nacido, no afectando a ningún derecho consolidado, asumido e integrado en el patrimonio del destinatario de la norma, sino a derechos futuros o meras expectativas.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los argumentos de la Junta de Extremadura relativos a la seguridad jurídica en su proyección sobre la confianza legítima, el Abogado del Estado parte de que el Real Decreto-ley 1/2012 no establece ni siquiera una retroactividad impropia, por lo que tampoco puede plantear problema alguno de constitucionalidad desde la perspectiva de la seguridad jurídica o desde la confianza legítima. Respecto del reproche relativo a la infracción de la seguridad jurídica en su vertiente objetiva de certeza del derecho, se trae a colación la STC 37/2012, de 19 de marzo, FJ 8, que sintetiza la doctrina constitucional al respecto. En este sentido, la Abogacía del Estado afirma que la norma impugnada no lleva aparejada ninguna duda en sus destinatarios sobre su ámbito de aplicación, presupuesto de hecho al que es aplicable y consecuencias jurídicas; existe, por tanto, una perfecta predeterminación de todos los elementos nucleares de la norma. El Abogado del Estado reconoce que, efectivamente, el Real Decreto-ley 1/2012 estatuye una facultad discrecional conferida al Gobierno para restablecer la inscripción en el registro de preasignación de retribución, lo que supone que, si las circunstancias cambiaran en el sector energético, la autoridad competente podrá introducir nuevas primas; pero afirma también que esto sería así aunque nada dijera el art. 4.4 del Real Decreto-ley 1/2012. Este precepto no supone una remisión en blanco al reglamento, porque las exigencias de predeterminación legal sólo operan en aquellas materias respecto de las que existe una reserva material de ley, no existiendo tal reserva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26 de septiembre de 2013 se acordó facilitar copia del escrito de alegaciones del Abogado del Estado a la representación procesal de la Junta de Extremadura, conforme a lo solicitado por ésta y a los solos efectos de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mayo de 2015,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la Junta de Extremadura contra los arts. 1 a 4 y la disposición derogatoria única del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1/2012 contiene precisamente cuatro artículos y una disposición derogatoria, que son los preceptos impugnados, más una disposición transitoria (que aplaza la aplicación de la disposición derogatoria), otra adicional (sobre devolución de avales depositados para las instalaciones de régimen especial) y tres finales (relativas a los títulos competenciales, a la habilitación al Gobierno para el desarrollo reglamentario y a la entrada en vigor). El Real Decreto-ley suprime los incentivos económicos para las nuevas instalaciones de producción de energía eléctrica en régimen especial y para las nuevas instalaciones en régimen ordinario de tecnologías asimilables a las incluidas en el régimen especial (art. 1.1); suspende los procedimientos de preasignación de retribución para el otorgamiento del régimen económico primado, estableciendo (art. 2.2) algunas particularidades en relación con los procedimientos de inscripción no conclusos, por silencio administrativo y en relación con las instalaciones no realizadas a la fecha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Junta de Extremadura denuncia en primer lugar la infracción del art. 86.1 CE. Entiende que no concurre la situación de extraordinaria y urgente necesidad exigible para la regulación de una materia mediante decreto-ley, que ha de tener un carácter estructural y permanente; tampoco se alcanza en Extremadura la finalidad de reducción del déficit tarifario del sistema eléctrico que se dice perseguir en el Real Decreto-ley 1/2012. En segundo lugar alega la vulneración del principio de confianza legítima como manifestación del principio de seguridad jurídica que garantiza el art. 9.3 CE. Según el recurso, al suprimir el Real Decreto-ley 1/2012 el tratamiento económico primado de las instalaciones de producción de energía eléctrica en régimen especial (energías renovables y de cogeneración), se afecta de manera directa e inmediata a un importante sector económico y productivo, estratégico para el desarrollo de la Comunidad Autónoma extremeña; el grado de incertidumbre que el Real Decreto-ley 1/2012 genera impide el ejercicio de cualquier actividad de planificación necesaria para una adecuada instrumentación de la ejecución de la política energética de la Junta de Extremadura y para los operadores privados que han apostado por las energías renovables. En la medida en que no era previsible la eliminación sorpresiva y sine die de todos los incentivos económicos a las energías renovables, no se respeta el principio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del recurso de inconstitucionalidad. Conforme ha quedado expuesto con detalle en los antecedentes, descarta la pretendida vulneración del art. 86.1 CE, apreciando la concurrencia de una situación de extraordinaria y urgente necesidad, explicitada tanto en el preámbulo de la norma como en el debate de convalidación. También la del art. 9.3 CE, por entender que se trata de un supuesto de sucesión normativa en el que se introducen modificaciones en el régimen anteriormente vigente; el Real Decreto-ley 1/2012 sería una norma que aspira simplemente a suprimir las ayudas a determinadas instalaciones de generación eléctrica y que, por tanto, no tiene carácter sancionador ni limita o restringe la esfera de libertades o derechos del título I CE, ni tiene carácter retroactivo. No incurre tampoco en infracción alguna de las exigencias de seguridad jurídica que derivan del art. 9.3 CE, al no afectar la norma a ningún derecho consolidado al cobro de primas, sino a meras expectativas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presente proceso constitucional, hemos de examinar la incidencia que las modificaciones normativas acaecidas después de la interposición del recurso de la Junta de Extremadura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STC 48/2015, de 5 de marzo, FJ 2, da cuenta de las seis normas que, tras la entrada en vigor del Real Decreto-ley 1/2012, se han ocupado también del régimen primado de instalaciones de producción de energía eléctrica a partir de cogeneración, fuentes de energía renovables y residuos. Concluye, tras su examen, que, pese a que ninguna de ellas deroga expresamente el Real Decreto-ley 1/2012, este texto legal —en cuanto hace referencia a un régimen económico primado ya desaparecido— no se encuentra materialmente en vigor, conforme estableció la STC 183/2014, de 6 de noviembre, con fundamento en la anterior STC 96/2014, de 12 de junio, al considerar que había sido sustituido por la Ley 24/2013, de 26 de diciembre, del sector eléctrico, y sus disposiciones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nuestra doctrina respecto a la pérdida de objeto en los recursos de inconstitucionalidad los expone la STC 96/2014, de 2 de junio, FJ 2. Tras recordar que la regla general en el ámbito de los recursos de inconstitucionalidad es que la derogación de la norma impugnada extingue su objeto, indica que no cabe dar una respuesta unívoca a esta cuestión, ya que, como señala la STC 124/2003, de 19 de junio, FJ 3,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de 16 de diciembre,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conoce, no obstante, excepciones. Así, por lo que interesa al presente supuesto, la denunciada vulneración del art. 86.1 CE no se ve afectada por el anterior criterio, ya que la derogación de la norma no impide controlar si el ejercicio de la potestad reconocida al Gobierno se realizó siguiendo los requisitos establecidos en dicho precepto constitucional;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recapitulando lo expuesto acerca del objeto del recurso y su pervivencia, resulta que no pervive la tacha vinculada a la infracción del art. 9.3 CE, conclusión, por lo demás, ya alcanzada en la STC 48/2015, FJ 2, por lo que debemos pronunciarnos únicamente acerca de la vulneración del art. 86.1 CE por falta de presupuesto habilitante que se reprocha al Real Decreto-ley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tacha de inconstitucionalidad ha de reputarse resuelta aplicando la doctrina de la ya citada STC 48/2015, FJ 5, en la que este Tribunal consideró, por remisión a la STC 183/2014, FJ 6, que “con la motivación aportada en la exposición de motivos de la norma, en el debate de convalidación del Decreto-ley, y en la memoria de impacto normativo del Real Decreto-ley, debe darse por satisfecho el requisito de que se hayan explicado las razones de extraordinaria y urgente necesidad que han motivado la suspensión, mediante Real Decreto-ley, del sistema de asignación de incentivos económicos para las instalaciones de producción eléctrica de régimen especial, así como de inscripción de las mismas en el registro de preasignación de retribución”. Lo mismo sucedía con el requisito de la conexión de sentido entre las medidas adoptadas y la situación de urgencia a la que se pretende atender con su aprobación. En el FJ 6 de la referida STC 48/2015, concluimos que “el propósito de la norma es evitar el incremento del gasto dedicado a la financiación del sistema primado, derivado de la incorporación de nuevas instalaciones a dicho sistema, para, a partir de ahí, propiciar la reducción del déficit estructural del sector eléctrico. Esto es, el Real Decreto-ley minimiza el riesgo de eventuales desviaciones al alza del déficit, lo que, como dijimos en la STC 183/2014, constituye una situación susceptible de ser abordada mediante la legislación de urgencia, constatándose una evidente conexión entre la situación de extraordinaria y urgente necesidad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se refiere a la vulneración del art. 9.3 CE por los arts. 1 a 4 y la disposición derogatoria única del Real Decreto-ley 1/2012, de 27 de enero.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lo restante.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