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1659-2016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1659-2016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19 de marzo de 2016, la Procuradora de los Tribunales doña María Inés Pérez Canales, en nombre y representación de don Ignacio Agorria Ortiz de Zárate, don Joseba Imanol Dorronsoro Ibeas, doña Cristina Muñoz Fernández, doña Olga Muñoz Fernández y don Serbio Bermejo de la Peña, y bajo la dirección del Letrado don Luís Soriano Soriano, interpuso recurso de amparo contra el Auto de la Sala Segunda del Tribunal Supremo de 26 de enero de 2016, que desestimó el incidente de nulidad interpuesto contra la Sentencia 484/2015, de 7 de septiembre de 2015, dictada por el mismo órgano judicial. En esta Sentencia, revocando la Sentencia absolutoria dictada por la Sección Segunda de la Audiencia Provincial de Vizcaya dictada el 16 de junio de 2014, se condenó a los demandantes de amparo como autores de un delito contra la salud pública, en su modalidad de sustancias que no causan grave daño a la salud y con la apreciación de un error vencible de prohibición, a las penas: para cada uno de los tres primeros, de ocho meses de prisión con la accesoria de inhabilitación para el derecho de sufragio pasivo durante el tiempo de condena y multa de 5.000 €, con responsabilidad subsidiaria en caso de impago de 20 días; y para los dos últimos de tres meses de prisión con la accesoria de inhabilitación para el derecho de sufragio pasivo durante el tiempo de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cautelar de la pena privativa de libertad, al considerar que su ejecución produciría a los recurrentes un perjuicio irreversible que haría perder al amparo su finalidad. Asimismo, se solicita que se “suspenda la ejecución de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4 de octubre de 2016, acordó la admisión a trámite de la demanda de amparo y la formación de pieza separada para la tramitación del incidente sobre la suspensión solicitada, así como conceder a los recurrentes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constancia del Secretario de Justicia de 5 de octubre de 2016 se dio cuenta a la Sala Primera de hacerse recibido copia de los Autos de suspensión dictados en la ejecutoria núm. 57-2015-M, por la Sección Sexta de la Audiencia Provincial de Vizcaya, uniéndose a la pieza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19 de octubre de 2016, presentó alegaciones en las que, enunciando la jurisprudencia de este Tribunal sobre el particular, interesó que se acordara la suspensión de la pena privativa de libertad, atendiendo a la duración de la pena impuesta a los demandantes y el tiempo que requiere normalmente la tramitación de un proceso de amparo como el presente, por lo que de no suspender su ejecución ocasionaría a los demandantes de amparo un perjuicio irreparable que dejaría totalmente en entredicho la eficacia de un eventual fallo estimatorio de la demanda de amparo, por cuanto la pena de prisión podría estar cumplida, al menos en gran parte. Por otra parte, considera que no procede la suspensión del resto de pronunciamientos condenatorios, ni de la responsabilidad subsidiaria para el caso de impago de la multa.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constancia del Secretario de Justicia de 21 de octubre de 2016, se dio cuenta a la Sala Primera de la ausencia de escrito de alegaciones de la Procuradora de los Tribunales doña María Inés Pérez Canales.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no obstante,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doctrina de este Tribunal (por todos, AATC 116/2015, de 6 de julio, y 2/2016, de 18 de enero), si la ejecución de una pena privativa de libertad no reviste carácter efectivo o actual por haber sido aplazada o suspendida, o por haber sido concedida la remisión condicional o la libertad condicional mediante resolución de los órganos judiciales competentes, no concurrirá el presupuesto del que parte el art. 56.2 LOTC, esto es, que la ejecución de la pena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dichas pautas jurisprudenciales y legales, no puede accederse a la suspensión de la pena privativa de libertad solicitada por los recurrentes y apoyada por el Ministerio Fiscal. Por Autos de la Sección Sexta de la Audiencia Provincial de Vizcaya de 19 de abril de 2016, se acordó la suspensión por el plazo de dos años de la ejecución de las penas privativas de libertad impuestas a los recurrentes. No concurre, entonces, el presupuesto establecido por el art. 56.2 LOTC, esto es, que la ejecución de la pena hubiere de ocasionar un perjuicio que haría perder al amparo su finalidad, pues la ejecución de las penas privativas de libertad impuestas se encuentra suspendida. Todo ello con independencia de que la denegación de la suspensión pueda ser modificada en el curso del proceso constitucional si surgieren nuevas circunstancias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las penas de multa merecen ser suspendidas, pues a las mismas les resulta aplicable la doctrina de la no suspensión por su reparabilidad; tanto más, cuanto los demandantes ni siquiera han intentado justificar el carácter irreversible de los daños que podría ocasionarles su abono. Se ha hecho especial incidencia por la doctrina de este Tribunal (ATC 99/2016, de 9 de mayo), por un lado, en que la acreditación del perjuicio es carga del recurrente, quien debe precisar los concretos perjuicios que de la ejecución se deriven, así como justificar o argumentar razonadamente la irreparabilidad de los mismos; y, por otro, que el perjuicio irreparable debe ser real, sin que sea posible alegar un perjuicio futuro o hipotético o un simple temor y que la pérdida de la finalidad del amparo no puede equipararse a la mayor o menor dificultad, molestia o incomodidad para el recurrente (por todos, ATC 81/2012, de 7 de mayo, FJ 3). No puede declararse tampoco, por esta misma razón, la suspensión de la responsabilidad subsidiaria para el caso de impago de la pena de multa, conforme a lo indicado por el Ministerio Fiscal, al tratarse de una eventualidad incierta que depende de que la multa no llegase a ser pagada, voluntariamente o por la vía de apremio, y en cualquier caso de una eventualidad futura que, en caso de sobrevenir, podría dar lugar a la modificación de la decisión que ahora se adopta (ATC 116/2015, de 6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relación con la pena accesoria de inhabilitación para el derecho de sufragio pasivo durante el tiempo de condena, no procede acceder a lo solicitado, al no quedar tampoco acreditados los daños y perjuicios derivados de esta pena privativa de derechos.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