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8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8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octubre de 2016, el Procurador de los Tribunales don Guzmán de la Villa de la Serna, en nombre y representación de don Ilias I. Traber, asistido del Abogado don Jesús María Silva Sánchez, interpuso recurso de amparo contra el Auto de la Sección Cuarta de la Sala de lo Penal de la Audiencia Nacional de 12 de septiembre de 2016, que desestima el recurso de apelación interpuesto contra el Auto de 30 de marzo de 2016 del Juzgado Central de Instrucción núm. 5, por el que se inadmite la personación del Sr. Traber en las diligencias previas núm. 321-2006, así como el recurso de reforma interpuesto contra el Auto del mismo Juzgado de 22 de enero de 2016, por el que se ordena la búsqueda internacional y detención de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de conformidad con el artículo 56.2 de la Ley Orgánica del Tribunal Constitucional, la inmediata suspensión de la ejecución de la orden de detención que pesa sobre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acordó la admisión a trámite de la demanda de amparo mediante providencia de 18 de septiembre de 2017. Asimismo, por providencia de la misma fecha, se procedió a formar la correspondiente pieza separada de suspensión, concediendo un plazo común de tres días al recurrente y al Ministerio Fiscal para que alegasen lo que estimasen pertin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resentó sus alegaciones por escrito registrado en este Tribunal el 26 de septiembre de 2017; tras recordar los antecedentes del asunto, interesa que no se acceda a la solicitud de suspensión de la ejecución de la orden de detención que pesa sobre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que solicita el recurrente se refiere a una resolución: la orden de detención, que no ha sido enjuiciada en el proceso a quo y que no va a ser objeto de examen en el recurso de amparo que se dirige contra sendas resoluciones que han denegado la personación de aquel en unas diligencias penales. Se trata pues de una pretensión de suspensión carente de argumentación y ajena al proceso constitucion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por escrito registrado en este Tribunal el 27 de septiembre de 2017, presentó alegaciones reiterando su solicitud de suspensión de la ejecución de la orden de detención en tanto se resuelve el presente recurso de amparo, que interesa sea acordada de manera ur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que, de no accederse a la suspensión interesada, el amparo —dada la duración ordinaria de su tramitación— perdería su finalidad, porque la práctica de la detención tendría efectos irreparables, sin que, por el contrario, la suspensión pueda deparar perjuicio alguno para los intereses generales o de los derecho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de la Ley Orgánica del Tribunal Constitucional (LOTC), la interposición del recurso de amparo no suspenderá los efectos del acto o sentencia impugnados. No obstante, la Sala (o la Sección, en su caso) que conozca de un recurso de amparo podrá acordar la suspensión de la ejecución del acto de los poderes públicos por razón del cual se reclame el amparo cuando dicha ejecución, caso de llevarse a cabo, “produzca un perjuicio que haría perder al amparo su finalidad”, siempre y cuando la suspensión no ocasione “perturbación grave a un interés constitucionalmente protegido, ni a los derechos fundamentales o libertades públicas de otra persona”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como ocurre en el presente caso),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16/2001, de 17 de julio, FJ 1; 199/2007, de 27 de marzo; FJ 1; 117/2015, de 6 de julio, FJ 3, y 3/2016, de 18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ATC 81/2012, de 7 de mayo, FJ 3; 95/2015, de 25 de mayo, FJ 2, y 99/2016, de 9 de mayo, FJ 2,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la solicitud de suspensión se hace preciso resaltar que el objeto del presente recurso de amparo lo constituye, exclusivamente, como advierte el Ministerio Fiscal, el enjuiciamiento acerca de si las resoluciones judiciales impugnadas, que deniegan la personación del recurrente en un proceso penal, lesionan su derecho a la tutela judicial efectiva sin indefensión (art. 24.1 CE), en relación con los derechos a la defensa, a ser informado de la acusación y a un proceso con todas las garantías (art. 24.2 CE). El recurrente solicita en el suplico de su demanda de amparo que se anulen esas resoluciones judiciales y que se admita su personación en las diligencias que se siguen ante el Juzgado Central de Instrucción núm. 5, “permitiéndole ejercer en el futuro todos los derechos que el art. 24 CE le reconoce, tramitando asimismo el recurso de reforma interpuesto contra su orden de de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la solicitud de suspensión no se refiere a los Autos impugnados en amparo, sino a la orden de detención que pesa sobre el recurrente, acordada en el Auto de 22 de enero de 2016 del Juzgado Central de Instrucción núm. 5, que no es objeto del presente recurso de amparo y respecto de la que únicamente se afirma por aquel que, de no acordarse la suspensión (de la orden de detención), el amparo perdería su finalidad en caso que fuera otorgado, dada la duración ordinaria de la tramitación de estos proces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ni la solicitud de suspensión se refiere a las resoluciones judiciales impugnadas en amparo, ni el recurrente satisface la carga procesal de precisar cuáles serían los supuestos perjuicios irreparables que, derivados de la ejecución de las resoluciones impugnadas, harían perder al amparo su finalidad (art. 56.1 y 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l hecho de que la orden de detención que pesa sobre el recurrente llegara a ejecutarse tampoco permitiría sin más presumir la existencia de perjuicios irreparables para aquel, al margen de que, por tratarse de una eventualidad futura, en caso de sobrevenir pudiera dar lugar, ex artículo 57 LOTC, a que este Tribunal se pronunciase, si así se le solicita, sobre la procedencia de adoptar la medida cautelar que ahora se deniega (entre otros muchos, AATC 107/1998, de 4 de mayo, FJ 2; 35/2002, de 11 de marzo, FJ 3; 361/2003, de 10 de noviembre, FJ 2; 117/2004, de 19 de abril, FJ 4, y 3/2017, de 16 de en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