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75</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5543-2018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5543-2018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93-2018 seguido en el Juzgado de Primera Instancia e Instrucción núm. 3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25 octubre de 2018, la entidad Penrei Inversiones, S.L., representada por la procuradora de los Tribunales doña Blanca Berriatua Horta y bajo la dirección de la letrada doña Anju Nirmala Benavent Rodríguez, interpuso recurso de amparo contra los autos dictados por el Juzgado de Primera Instancia e Instrucción núm. 3 de Lorca en el procedimiento de ejecución hipotecaria núm. 93-2018 en fechas 3 de julio y 14 de septiembre de 2018 por los que, respectivamente, se inadmite por extemporánea la oposición a la ejecución hipotecaria y se confirma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3 de Lorca se sigue procedimiento de ejecución hipotecaria núm. 93-2018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11 de abril de 2018, aclarado por otro de 2 de mayo de 2018, se acordó despachar ejecución frente las sociedades demandadas. El citado auto y el decreto de la misma fecha que le sigue fueron comunicados a las citadas entidades a través de la sede judicial electrónica el día 4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entidad Penrei Inversiones, S.L., presentó escrito de oposición a la ejecución despachada con fecha 29 de junio de 2018. Por auto de 3 de julio de 2018 se acordó su inadmisión por presentación extemporánea, tomando como fecha de notificación el 4 de mayo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4 de mayo de 2018 sino el 19 de junio de 2018 y que la comunicación remitida a través de la dirección electrónica habilitada no puede entenderse más que un aviso de puesta a disposición o descarga de su contenido durante un plazo determinado (en el caso desde el 4 mayo al 19 de junio de 2018) y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fue desestimado por auto de 14 de septiembre de 2018. Según esta resolución la recurrente tiene la condición de persona jurídica y, por tanto, está obligada a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373.3 LEC. Según el auto, si bien “es cierto que la notificación por medios electrónicos efectivamente se realiza cuando el destinatario accede a su contenido”, la recurrente “yerra en el plazo en el que puede acceder a [dicho] contenido a efectos de la práctica de la notificación el cual es de diez días naturales desde la puesta a su disposición y ello por imperativo del artículo 43.2 de la citada Ley” 39/2015, de 1 de octubre, del procedimiento administrativo común de las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la interpretación ofrecida en el auto objeto de impugnación, que se apoya en la Ley de procedimiento administrativo eludiendo las garantías exigibles para las notificaciones de un proceso judicial, cercena el derecho a la tutela judicial efectiva al privar a la recurrente del derecho a formular oposición en un proceso de ejecución hipotecaria. A tal fin, aduce que siguió la literalidad de las instrucciones contenidas en un correo electrónico que recibió procedente del servicio de notificaciones electrónicas, accediendo al contenido de la notificación dentro del plazo establecido en el mismo. El citado correo tiene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recibido una notificación del órgano emisor juzgados y tribunales (SGAJ) en la Dirección electrónica habilitada del titular Penrei Inversiones, S.L. — NIF B73836173.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notificación estará disponible en su Dirección electrónica habilitada única desde el 04 de mayo de 2018 hasta el 19 de junio de 2018. Si no procediera a su lectura en el plazo indicado se producirán los efectos correspondientes, según la normativa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que conste como leída, por favor acceda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http://notificaciones060.es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Asunto: ‘JDO. 1 INST. E INSTR. N 3 DE LORCA EHJ/00000093/2018’”.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entidad recurrente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interprete,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mayo de 2019 la Sección Primera de este Tribunal acordó admitir a trámite el recurso de amparo y dirigir comunicación al Juzgado de Primera Instancia e Instrucción núm. 3 de Lorca, a fin de que, en el plazo de diez días, remitiera certificación o fotocopia adverada de las actuaciones correspondientes a los autos de ejecución hipotecaria y emplazara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27 de mayo de 2019, la parte demandante formuló sus alegaciones, reiterando lo dicho en el otro sí de su demanda y trascribiendo parte del ATC 287/2013,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3 de junio de 2019, interesa que se acuerde la anotación preventiva de la demanda en el registro de la propiedad, aunque esta última medida no haya sido solicitada en el recurso de amparo. Tras exponer la doctrina de este Tribunal sobre suspensión de resoluciones y actos impugnados, aduce que en el presente caso la suspensión no aparece muy fundamentada por la propia parte recurrente, resultando más eficaz la anotación preventiva de la demanda en el registro de la propiedad mediante la que se evitaría que un hipotético tercer adquirente del inmueble hipotecado quede especialmente protegido.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ordenación de 21 de junio de 2019 se acordó, conforme a lo dispuesto en el art. 56 LOTC, dar audiencia por tres días a Banco de Sabadell, S.A., representado por la procuradora doña Blanca María Grande Pesquero, por haberse personado en las actuaciones principales. Esta parte ha presentado escrito en que solicita la denegación de la suspensión ya que, a su juicio, la demandante de amparo no ha acreditado ningún tipo de perjuicio que pueda considerarse irreparable.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93-2018 seguido en el Juzgado de Primera Instancia e Instrucción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De las actuaciones judiciales que han sido remitidas por el juzgado se desprende que el procedimiento se encuentra pendiente de la celebración de la subasta y que el inmueble sobre el que se sigue la ejecución está constituido por una plaza de aparcamiento de vehículos, de modo que no sirve de vivienda ni de soporte de una actividad comercial explotada por la entidad demandante o terceros. En tales circunstancias, no es posible afirmar que la continuación del curso del procedimiento judicial, incluso con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2/2019, de 9 de enero; 88/2018, de 17 de septiembre, y 106/2017, de 17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93-2018 seguido en el Juzgado de Primera Instancia e Instrucción núm. 3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