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5546-2018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5546-2018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100-2018 seguido en el Juzgado de Primera Instancia e Instrucción núm. 3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25 de octubre de 2018, tuvo entrada en el registro general de este Tribunal Constitucional un escrito de la procuradora doña Blanca Berriatua Horta, en representación de la entidad Euroinversiones Inmobiliarias Costa Sur, S.L., por el que interpuso recurso de amparo contra el auto de 2 de julio de 2018 del Juzgado de Primera Instancia e Instrucción núm. 3 de Lorca, que inadmitió el escrito de oposición a la ejecución hipotecaria promovida por Banco de Sabadell, S.A., y contra el auto del mismo Juzgado, de 12 de septiembre de 2018, que desestimó el recurso de reposición interpuesto contra la anterior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2 de julio de 2018, el juzgado de primera instancia e instrucción dictó un auto en el procedimiento de ejecución hipotecaria núm. 100-2018 por el que acordó: “Inadmitir a trámite la oposición formulada por la parte ejecutada Penrei Inversiones, S.L., y Euro Inversiones Inmobiliarias Costa Sur, S.L.”, advirtiendo en pie de recurso que contra dicha resolución cabía recurso de reposición.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basó su decisión, conforme a su fundamento de Derecho único, en lo siguiente: “Se establece en el artículo 134 de la Ley de enjuiciamiento civil: LEC, la improrrogabilidad de los plazos establecidos en la misma, y en el artículo 136 LEC, que transcurrido o pasado el término señalado para la realización de un acto procesal de parte se producirá la preclusión y se perderá la oportunidad de realizar el acto de que se trate, y previniéndose en el artículo 695 LEC, que el escrito de oposición a la ejecución deberá ser presentado dentro de los diez días siguientes al de la notificación del auto y decreto por el que se despacha ejecución y/o de la medida concreta de ejecución, y constando en el presente supuesto que la parte ejecutada se ha opuesto pasado que ha sido el plazo que legalmente se le otorga, debe ser inadmitida su oposición por extemporánea, de conformidad con lo establecido en los preceptos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Formalizado contra dicho auto recurso de reposición por la entidad aquí demandante de amparo, el juzgado a quo dictó auto el 12 de septiembre de 2018 desestimándolo, con confirmación de la resolución recurrida, en virtud de los motivos expresados en su razonamiento jurídico segundo: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siendo indiscutible la condición de personas jurídicas de las recurrentes, las mismas desde el 1 de enero de 2017 (disposición transitoria cuarta de la Ley 42/2015, de 5 de octubre, de reforma de la LEC) están obligadas a relacionarse con la Administración de Justicia por medios electrónicos (art. 14. 2 a) de la Ley 39/2015 LPAAP y art. 273. 3 a)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Interpretan las recurrentes de forma errónea la normativa aplicable. Es cierto que la notificación por medios electrónicos efectivamente se realiza cuando el destinatario accede a su contenido. Ahora bien, hierran sic en el plazo en el que puede acceder a su contenido a efectos de la práctica de la notificación, el cual es de 10 días naturales desde la puesta a su disposición y ello por imperativo de la sic art. 43 de la citada LPACAP (Ley 30/15). Así dice el artículo 43. 2 de la citada Ley que ‘las notificaciones por medios electrónicos se entenderán practicadas en el momento en que se produzca el acceso a su contenido. Cuando la notificación por medios electrónicos sea de carácter obligatorio, o haya sido expresamente elegida por el interesado, se entenderá rechazada cuando hayan transcurrido diez días naturales desde la puesta a disposición de la notificación sin que se acceda a su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consta que la notificación se puso a disposición de las recurrentes en fecha 3 de mayo de 2018 no accediendo al contenido hasta el día 18 de junio (fuera de los diez días naturales), presentando los escritos de oposición a la ejecución en fecha 29 de junio claramente fuera del plazo legalmente establecido en el art. 556. 1 LEC (dentro de los 10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traía el siguiente pie de recurso: “Notifíquese esta resolución a las partes personadas, haciéndoles sic que es firme, y contra la misma no cabe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las resoluciones judiciales impugnadas causan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tratándose de su primer emplazamiento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reconoce que si bien la recurrente, por ser una persona jurídica, viene por ello obligada a relacionarse con la administración de justicia a través de medios electrónicos, no obstante cuando es el primer emplazamiento y por tanto todavía aquélla “no ha tenido ninguna relación con el Juzgado correspondiente en este especial y concreto procedimiento”, ha de practicarse mediante cédula con entrega en papel de la documentación correspondiente, conforme establece el art. 273 LEC, en relación con los arts. 135, 152, 162 y 155 de la misma LEC. Este último, precisa, “es categórico al respecto ya que en su punto primero nos indica que cuando las partes no actúen representadas por procurador o se trate del primer emplazamiento o citación al demandado, los actos de comunicación se harán por remisión al domicilio de los litigantes”. Añade que incluso la notificación realizada tampoco cumple con las formalidades de las comunicaciones electrónicas. Pese a todo esto, el auto dictado por el juzgado el 2 de julio de 2018 declaró extemporánea la presentación del escrito de oposición, computando el plazo de diez días desde la fecha de envío de aquel correo a través de la dirección electrónica habilitada.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auto del 12 de septiembre siguiente que desestimó la reposición, se rechaza por la recurrente que haya fundamentado su decisión en la Ley de procedimiento administrativo común, “que consideramos inaplicable al ámbito procesal civil, puesto que además de existir normas concretas al respecto, no se dan en uno y otro ámbito las mismas garantías procedimentales”; siendo que en materia de notificación de actos procesales existe su propia normativa tanto en la Ley de enjuiciamiento civil —los artículos arriba citados—, como en el haz de garantías del propio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 solicita que este Tribunal Constitucional, con estimación del amparo, acuerde la nulidad de ambas resoluciones judiciales y ordene reponer las actuaciones al momento previo al dictado de la primera de aquéllas, a fin de que el juzgado a quo admita a trámite la “demanda de oposición al despacho de ejecución formulada por mi representada”.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derivadas sic de los pronunciamientos judiciales que han sido objeto de impugnación, con la celebración de subasta y la eventual adjudicación a terceros, pueden hacer perder al recurso de amparo su finalidad, por lo que solicito la suspensión de la continuación del procedimiento de ejecución hipotecaria 100-2018 seguido ante el Juzgado de Primera Instancia e Instrucción número 3 de LORCA, hasta tanto sea resuelto el presente recurso de amparo, poniéndolo en conocimiento del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Sección Cuarta, de este Tribunal Constitucional, dictó providencia el 17 de junio de 2019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porque el recurso plantea un problema o afecta a una faceta de un derecho fundamental sobre el que no hay doctrina de este Tribunal [STC 155/2009, FJ 2 a)], así como que el recurso puede dar ocasión al Tribunal para aclarar o cambiar su doctrina, como consecuencia de cambios normativos relevantes para la configuración del contenido del derecho fundamental [STC 155/2009,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diríjase atenta comunicación al Juzgado de Primera Instancia e Instrucción núm. 3 de Lorca a fin de que, en plazo que no exceda de diez días, remita certificación o fotocopia adverada de las actuaciones correspondientes al procedimiento de ejecución hipotecaria núm. 100-2018; debiendo previamente emplazarse, para que en el plazo de diez días puedan comparecer, si lo desean, en el recurso de amparo a quienes hubieran sido parte en el procedimiento, excepto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la solicitud de la parte actora, fórmese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esta solicitud de actuaciones, sin perjuicio de la resolución que se acaba de mencionar la Secretaría de Justicia de la Sala Segunda de este Tribunal dictó con fecha 24 de junio de 2019 un oficio, requiriendo al letrado de la administración de justicia del juzgado de primera instancia e instrucción competente, “con el ruego de que disponga lo necesario a fin de que, a la mayor brevedad posible, remita a esta Sala certificación acreditativa de la interposición o no de recurso de apelación contra alguna de las resoluciones dictadas en las actuaciones principales o en alguna pieza separada en el procedimiento de ejecución hipotecaria seguido en ese juzgado con el número 100-2018, y si ha recaído resolución se remita a esta Sala testimonio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Hasta esta fecha no se ha recibido respuesta escrita a ese requerimiento, ni han llegado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nueva providencia dictada por la Sección Cuarta de este Tribunal en la misma fecha de la admisión del recurso, el 17 de junio de 2019,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 entidad recurrente presentó su escrito de alegaciones con fecha 25 de junio de 2019, interesando se acceda a lo solicitado en cuanto a la suspensión del procedimiento de ejecución hipotecaria referido.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alega que la continuación de tal procedimiento, “con la celebración de subasta y la eventual adjudicación a terceros harían perder al recurso de amparo su finalidad y provocarían perjuicios patrimoniales para mi representada de imposible o difícil reparación”. Invoca a su favor lo resuelto por este Tribunal en su ATC (287/2013) de 16 de diciembre de 2013, reiterando a renglón seguido las vulneraciones constitucionales de fondo que aduce en su demanda, e indicando que el celebrarse la subasta y la posible adjudicación del bien inmueble a terceros de buena fe, con “desposesión del bien ejecutado, conllevaría a situaciones irreversibles, con un inevitable perjuicio para mi representada”.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fiscal ante este Tribunal Constitucional formalizó su escrito de alegaciones en esta pieza el 4 de julio de 2019, interesando que se adopte únicamente la medida de anotación preventiva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cita del art. 56.2 LOTC y reproducir lo declarado en el ATC 127/2015, de 20 de julio, FJ 1, en relación con la necesidad de acreditar por el interesado la existencia de un perjuicio irreparable, para poder acordarse la suspensión de los actos impugnados en amparo, sostiene el Fiscal que en el presente caso, la “suspensión solicitada comportaría la paralización del procedimiento ejecutivo que, por su propia naturaleza, goza de las características de celeridad y sumariedad pero, también es obvio que, de continuar el procedimiento este acabará con la subasta del bien hipotecado y con la eventual adjudicación a un tercero de buena fe lo que haría irreversible esa situación aun cuando el amparo solicitado prosperara. Para conseguir el efecto protector deseado por la recurrente y enervar los indeseados efectos de la paralización del procedimiento, se puede acordar la anotación preventiva de la demanda de amparo en el registro de la propiedad, ya que de esta manera se daría publicidad frente a terceros de la pendencia del recurso, lo que conlleva el conocimiento de los efectos que sobre la titularidad de la vivienda puede tener el otorgamiento del amparo en su caso, evitando que el hipotético adquirente queda especialmente protegido por su buena fe en la adquisición”. Cita en apoyo de su petición el art. 56.3 LOTC, que permite al Tribunal adoptar toda medida que evite que el recurso de amparo pueda perder su finalidad, así como el ATC 2/2019, de 9 de enero,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Insiste finalmente en que es procedente la medida de anotación preventiva, pues de lo contrario “la tutela que pudiera otorgarse por este tribunal no sería completa si se deja abierta la posibilidad de que la finca sea transmitida a tercero de buena fe mientras se sustancia y resuelve el presente proceso de amparo, por lo que se interesa” su adopción.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100-2018 seguido en el Juzgado de Primera Instancia e Instrucción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el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dicha entidad mercantil, como tampoco sobre las características, destino y estado posesorio del inmueble hipotecado. En tales circunstancias, no es posible afirmar que la continuación del curso del procedimiento judicial, incluso con un desplazamiento posesorio, provoque por sí solo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hiciera irreivindicable; situación a la que se hace referencia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FJ 3; 88/2018, de 17 de septiembre, FJ 5, y 2/2019, de 9 de enero,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y que,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100-2018 seguido en el Juzgado de Primera Instancia e Instrucción núm. 3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