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12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5336-2018, promovido por don Juan Antonio Morales Álvarez, representado por la procuradora de los Tribunales doña Begoña del Arco Herrero y bajo la dirección del letrado don Santiago Milans del Bosch y Jordán de Urríes, contra los acuerdos de la mesa de la Asamblea de Extremadura de 11 de julio, 4 de septiembre y 9 de octubre de 2018 por los que se atribuye al recurrente la condición de diputado no adscrito y se delimitan las atribuciones y derechos que en dicha condición le corresponden. Ha sido parte el letrado de la Asamblea de Extremadura, en la representación que ostenta, y ha intervenido el ministerio fiscal. Ha sido ponente el magistrado don Juan José González Rivas, presidente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octubre de 2018, la procuradora de los Tribunales doña Begoña del Arco Herrero, en nombre y representación de don Juan Antonio Morales Álvarez, interpuso recurso de amparo contra los acuerdos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Juan Antonio Morales Álvarez, que ostentaba el cargo de diputado regional de la Asamblea de Extremadura desde el año 2011, en fecha 6 de julio de 2018 presentó a la mesa de la cámara escrito en el que manifestaba su voluntad de dejar de pertenecer al grupo parlamentario Popular a partir de esa fecha, su intención de mantener su adscripción al régimen de dedicación exclusiva y su solicitud de asignación de un despacho para poder ejercer sus funciones, poniéndose también a disposición de la mesa para tratar la cuestión relativa a la regulación del procedimiento para su intervención en el pleno y en las comisiones a las que fuera adscrito.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 la cámara, en cumplimiento de lo dispuesto en el artículo 39 del Reglamento de la Asamblea de Extremadura, adoptó, en sesión celebrada el 11 de julio de 2018, los siguientes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“Acuerdo-MA242/A1/18-IX”: Contiene el Estatuto del diputado no adscrito y su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“Acuerdo-MA242/A2/18-IX”: Asigna al diputado no adscrito, D. Juan Antonio Morales Álvarez, el escaño nº 72 del salón de plenos.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“Acuerdo-MA242/A3/18-IX”: No accede a la solicitud de mantener el régimen de dedicación exclusiva por contravenir dicha petición lo dispuesto en el artículo 39.5 del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“Acuerdo-MA 242/A4/18-IX”: No accede a la petición del despacho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interesado, en fecha 24 de julio de 2018, dirigió escrito a la mesa de la Asamblea a fin de que le fueran aclaradas por ella hasta doce dudas que los mencionados acuerdos le habían ocasionado.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6 de septiembre de 2018 fue comunicado al ahora recurrente el acuerdo, adoptado por la mesa de la cámara en sesión de fecha 4 de septiembre de 2018 que con el núm. MA246/A14/18-IX, formula al diputado don Juan Antonio Morales Álvarez las aclaraciones que solicitaba respecto de las cuestiones suscitadas en lo referente al ejercicio de su actividad parlamentaria como diputado no adscrito.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conformidad con lo establecido en el art. 19.3 del Reglamento de la Asamblea, en fecha 1 de octubre de 2018, don Juan Antonio Morales Álvarez interpuso requerimiento de amparo ante la mesa de la Asamblea, señalando en las alegaciones las vulneraciones de derechos sufridas y solicitando la restitución de los derechos de que gozaba en su condición de diputado antes de adjudicársele la condición de no adscrito.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11 de octubre de 2018 fue comunicado al interesado el siguiente acuerdo, adoptado por la mesa de la cámara en reunión de 9 de octubre de 2018: núm. MA254/A5/18-IX que desestimaba las peticiones contenidas en el escrito con R.E.24.307, presentado por don Juan Antonio Morales Álvarez, ratificando, por ser conformes al Reglamento de la Asamblea de Extremadura, los acuerdos adoptados por la mesa de la cámara en su sesión de 11 de julio (acuerdos MA242/Al/18-IX, MA242/A2/18-IX, MA242/A3/18-IX, MA242/A4/l8-IX) y 4 de septiembre de 2018 (MA246/A 14/18-IX),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los acuerdos impugnados vulneran sus derechos fundamentales a la igualdad y no discriminación (art. 14 CE) y al ejercicio de cargo público en condiciones de igualdad (art. 23.2 CE). Con base en la doctrina establecida en la STC 151/2017, de 21 diciembre, que, a su juicio, “marca” límites a las restricciones de los derechos de los mandatarios no adscritos, la parte actora funda su solicitud de amparo en cuatro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atribución de la condición de “diputado no adscrito” al recurrente (acuerdo MA/242/A1/18-IX) vulnera, según el demandante, sus derechos fundamentales a la igualdad y no discriminación (art. 14 CE) y al ejercicio de cargo público en condiciones de igualdad (art. 23.2 CE), pues en el artículo 39 del Reglamento de la Asamblea de Extremadura se prevé que si un único diputado es el que por voluntad propia deja de pertenecer o es expulsado de un grupo parlamentario, no puede pasar a formar parte de un grupo distinto, ni siquiera del grupo Mixto, sino que adquiere la condición de diputado “no adscrito”, encontrando así limitados sus derechos y colocándosele en un rango inferior o de segunda categoría con respecto al resto de diputados. Para el recurrente, la diferencia de trato establecida en el Reglamento que le ha sido aplicada por la mesa estaría constitucionalmente vedada, al no estar justificada y ser contraria a la esencia de la democracia, máxime si se tiene en cuenta que esta situación no se produce cuando son expulsados todos los diputados de un grupo parlamentario formado por una coalición, ni en el supuesto de separación por disolución de dicha coalición, en cuyo caso se permite la creación de un nuevo grupo parlamentario o integrarse en el grupo mixto, manteniéndose así todos los derechos de los diputados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mismos derechos fundamentales habrían sido vulnerados por las restricciones sufridas en la participación en comisiones, la intervención en distintas iniciativas parlamentarias y las percepciones de la dedicación exclusiva (acuerdos MA242/A1/18-IX y MA242/A3/18-IX).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el recurrente de que los acuerdos impugnados le permiten únicamente formar parte de una comisión que previamente haya sido designada por la mesa, lo que considera contrario al principio democrático, pues al negársele la posibilidad de formar parte de otro grupo parlamentario, ni siquiera del mixto, se ven limitados sus derechos respecto del resto de los diputados de los distintos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le estarían cercenando gravemente sus derechos como diputado, en aspectos tan nucleares de la función parlamentaria como es el control al Gobierno, que se reduce, ante el pleno, a la posibilidad de presentar una única interpelación y una pregunta oral por período de sesiones, esto es, dos iniciativas de cada tipo al año, ocho en el conjunto de la legislatura. Más rechazable aún considera la limitación de una sola pregunta oral ante la comisión por periodo de sesiones, lo que a su juicio supone una clara manifestación de la voluntad de restringir su función de control al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por lo que se refiere a la participación en otros debates ante el pleno, señala que, como en su momento puso en conocimiento de la mesa de la Asamblea, el término “especial relevancia”, referido a los debates en los que le está permitido participar, resulta ambiguo y no viene definido en el Reglamento, lo que provoca una gran inseguridad 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vulneraría sus derechos en el correcto ejercicio de la función parlamentaria el impedimento de intervenir en los debates de totalidad, en los debates para la convalidación de los decretos leyes y en los referidos a iniciativas del art. 215 del Reglamento de la Asamblea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lesionaría igualmente su derecho al ejercicio del cargo público en condiciones de igualdad el hecho de que, en aplicación de lo dispuesto en el art. 39 del citado Reglamento, se le haya privado de las percepciones económicas derivadas de la dedicación exclusiva. Señala que, a diferencia de los diputados provinciales, tanto en las Cortes Generales (artículo 71.4 CE), como en un buen número de estatutos de autonomía, el derecho a una asignación económica suficiente para asegurar una dedicación eficaz a la función parlamentaria, lo que se incardina dentro del núcleo de las prerrogativas individuales de los parlamentarios. Entiende el recurrente que, a este respecto, no sería aplicable el criterio sostenido en la STC 169/2009, de 9 de julio, en la que no se aprecia daño al estatuto de un diputado provincial no adscrito por el hecho de que se le privase de la dedicación exclusiva. De acuerdo con ello, la opción por la exclusividad correspondería tomarla al diputado individual, pues, aunque el art. 22 del Reglamento señala que son los portavoces de los grupos los que comunican a la mesa de la cámara “los diputados que se acogen al régimen de dedicación exclusiva”, el apartado 2 establece claramente que es una decisión del diputado individual. En este sentido, la comunicación del portavoz ha de interpretarse como una forma de conocimiento de la decisión adoptada y un sistema de transmisión a la mesa, sin que pueda transformarse en un sistema de control (en sentido análogo, se cita la STC 57/2011, de 3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considera el recurrente que la regulación del art. 39 del Reglamento de la Asamblea de Extremadura introduce una diferenciación en el status del diputado no adscrito carente de toda justificación y, por tanto, discriminatoria, que vulnera además la declaración general de derecho contenida en el artículo 22 del citado Reglamento. Esta cuestión revestiría especial importancia por cuanto este precepto, como los demás contemplados en el capítulo II del título II del Reglamento, es desarrollo directo del Estatuto de Autonomía de Extremadura, que en su artículo 18.1 dispone que los derechos y atribuciones de los diputados se completan por el Reglamento de la Asamblea. El Estatuto, en cambio, no contiene previsión alguna sobre la figura de un diputado no adscrito. Antes al contrario, la declaración del artículo 18.1 de que los diputados “representan a la totalidad de la región y no estarán sujetos a mandato imperativo” casa mal con una sujeción tan intensa a la formación política en cuyas listas concurrieron a las elecciones. Por todo ello, el artículo 39.5 del Reglamento, que no cuenta con una habilitación estatutaria expresa y contradice lo previsto en una disposición incardinada directamente en el estatuto, ha de reputarse inconstitucional, según el recurrente, por vulneración mediata de la ley fundamental. Pero, a mayor abundamiento, se señala que la introducción de una restricción no fundamentada, discriminatoria y que restringe indebidamente la posibilidad de ejercer su función representativa a plena jornada por parte del recurrente conculcaría de manera manifiesta el derecho a la igualdad en el ejercicio de un cargo público previsto en el artículo 23.2 CE, lo que, nuevamente y esta vez de forma inmediata, determinaría la inconstitucionalidad manifiesta del artículo 39, y en particular de su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considera que la asignación de escaño el núm. 72 en el salón de plenos, del que dice hallarse aislado, con escaños vacíos de por medio, separado del resto de los diputados, que se encuentran juntos con independencia del color político de cada uno, atenta, además de contra su derecho a la igualdad y no discriminación, así como a ejercer su cargo en condiciones de igualdad, a su dignidad (art. 10 CE) y a su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 habría producido la vulneración de los derechos fundamentales reconocidos constitucionalmente en los arts. 14 y 23.2 CE, al denegarse al recurrente la adjudicación de un despacho, al que tendría derecho, para el correcto ejercicio de sus funciones parlamentarias, como el resto de los diputados que pertenecen a distintos grupos parlamentarios. A su juicio lo impone así el art 39.5 del Reglamento de la Asamblea de Extremadura, al prescribir que la mesa ha de garantizar a los diputados “no adscritos” los medios materiales para el desempeño de sus funciones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demandante, la denegación del despacho, adjudicándole únicamente cuando así lo solicite una sala para el ejercicio de sus funciones, sería contraria al Reglamento de la cámara y limitaría injustificada y arbitrariamente el derecho del recurrente a ejercer su función como diputado, impidiéndole la correcta recepción de las convocatorias y de la documentación anexa a las sesiones, que habría de recibirla de los ujieres en los pasillos de la Asamblea, en el propio escaño cuando se celebra el pleno o en su propio domicilio, si se la envían.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cierre, se refiere el recurrente al tratamiento de supuestos similares en los reglamentos del Congreso y del Senado, poniendo de manifiesto que ambas normas prevén que aquellos parlamentarios que por cualquier causa dejaren de pertenecer a un grupo parlamentario quedarán automáticamente incorporados al grupo mixto, y por tanto su participación y derechos serán los mismos que los del resto de diputados y senadores, con las características propias de dicho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hace referencia a la STC 151/2017, de 21 diciembre, que resolvió una cuestión de inconstitucionalidad planteada por la Sala de lo Contencioso-Administrativo del Tribunal Superior de Justicia de Canarias, y declaró, con el alcance establecido en su fundamento jurídico octavo, la inconstitucionalidad y nulidad del párrafo tercero del artículo 197.1 a) de la Ley Orgánica 5/1985, de 19 de junio, de régimen electoral general, en la redacción dada por la Ley Orgánica 2/2011, de 28 de enero, que se promulgó para combatir el transfuguismo de concejales, al vulnerar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en amparo, lo dispuesto en dicha sentencia resulta aplicable, mutatis mutandis, a los diputados regionales, cuyas funciones esenciales, por las mismas razones, no pueden ser restringidas sin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 suplicando que se dicte sentencia “declarando haber lugar al recurso de amparo y decida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“-Declarar nulos, por inconstitucionales los mencionados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-Declarar vulnerados los derechos fundamentales reconocidos constitucionalmente en los artículos 14, 18 y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-Restablecer al recurrente en la totalidad de los derechos que ostentaba con anterioridad a los aludidos acuerdos. Y en su caso transferirle de la condición de diputado ‘no adscrito’ a la de miembro del Grupo parlamentario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solicita por otrosí la suspensión cautelar de la ejecución de los acuerdos impugnados y, por segundo otrosí, el planteamiento por la Sala de autocuestión de inconstitucionalidad prevista en el artículo 55.2 de la Ley Orgánica del Tribunal Constitucional (LOTC), antes de resolver el motivo relativo a la exclusión del régimen de exclusividad, respecto del artículo 39.5 del Reglamento, en cuanto que este precepto, a su juicio, “vulnera el mandato de igualdad el artículo 23.2, suponiendo una quiebra del derecho reconocido en el artículo 22 del Reglamento, que atenta a la vez contra el artículo 18 del Estatuto y el 23.2 CE, en la medida en que los derechos de los parlamentarios, una vez recogidos en el reglamento, pasan a integrar su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2018, la Sección Primera de este Tribunal acordó la admisión a trámite de la demanda de amparo presentada, “apreciando que concurre en el mismo una especial trascendencia constitucional (art. 50.1 LOTC) porque el recurso plantea un problema o afecta a una faceta de un derecho fundamental sobre el que no hay doctrina de este Tribunal [STC 155/2009, FJ 2 a)] y la posible vulneración del derecho fundamental que se denuncia pudiera provenir de la ley o de otra disposición de carácter general [(STC 155/2009, FJ 2 c)]”, y, de conformidad con lo dispuesto en el art. 51 LOTC, dirigir atenta comunicación al presidente de la Asamblea de Extremadura a fin de que, en plazo de diez días, remitiera certificación o fotocopia adverada del expediente correspondiente a los acuerdos adoptados por la mesa de la Asamblea en sesiones de 11 de julio y 4 de septiembre de 2018 con remisión de copia de la demanda para conocimiento de la citada mesa, a efectos de su personación en dicho plazo. Asimismo se acordó la formación de pieza separada para la sustanciación del incidente de suspensión; y, en otra providencia de la misma fecha, conceder a la parte recurrente y al ministerio fiscal el plazo común de tres días para que alegasen lo que estimasen pertinente en relación con la petición de suspensión solicitada. Evacuados los trámites correspondientes, mediante ATC 60/2019, de 17 de junio, la Sala Primera acordó denegar la suspensión y la medida cautelar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presentado el día 27 de mayo de 2019, el letrado de la Asamblea de Extremadura comunicó el acuerdo de la mesa de la cámara de 20 de mayo del mismo año que ordenó remitir al Tribunal el expediente correspondiente a los acuerdos impugnados y personarse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Sección Primera de este Tribunal de fecha 28 de mayo de 2019, se acordó tener por recibidos los testimonios de las actuaciones remitidos por la Asamblea de Extremadura, y el escrito del letrado de dicha Asamblea, teniéndole por personado y parte en nombre y representación de tal cámara, y,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28 de junio de 2019, la procuradora de los Tribunales doña Begoña del Arco Herrero, en nombre y representación de don Juan Antonio Morales Álvarez, presentó escrito en el que manifiesta que no desea realizar más alegaciones de las que en su día se presentaron.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3 de julio de 2019, el ministerio fiscal presentó su escrito de alegaciones en el que termina solicitando que se estime el recurso, se declare vulnerado el derecho fundamental del demandante de amparo a ejercer sus funciones representativas con los requisitos que señalan las leyes (art. 23.2 CE) en conexión con el derecho de los ciudadanos a participar en los asuntos públicos a través de sus representantes (art. 23.1 CE) y “se disponga la nulidad de los siguientes acuerdos parlamentarios: i) del Acuerdo MA242/A1/18-IX, en cuanto fijó al recurrente cupos para sus intervenciones ante el Pleno de la Asamblea (una interpelación por período de sesiones; una pregunta a un consejero del gobierno regional por período de sesiones) y ante una comisión (una pregunta oral a altos cargos del gobierno regional y consejeros por período de sesiones); ii) del Acuerdo MA246/A14/18-IX, en cuanto impidió al recurrente su intervención en los debates de totalidad y de decretos-leyes, así como en las propuestas de impulso y de pronunciamiento en pleno; y iii) del acuerdo MA254/A5/18-IX, en cuanto confirmó las anteriores decisiones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la parte recurrente, argumenta el fiscal ante el Tribunal Constitucional lo que se sintetiza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 en primer lugar, al motivo de amparo en el que se denuncia la vulneración de los derechos fundamentales del demandante a la igualdad y a la no discriminación (art. 14 CE) y al ejercicio del cargo público en condiciones de igualdad (art. 23.2 CE) causada por la mesa de la Asamblea de Extremadura en el acuerdo MA242/A3/l8-IX al disponer la privación al interesado de las percepciones económicas derivadas del régimen de dedicación exclusiva, materia sobre la que se efectúa la solicitud de planteamiento de cuestión interna de inconstitucionalidad respecto del art. 39.5 del Reglamento de la Asamblea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hay que descartar liminarmente cualquier posible vulneración del derecho a la igualdad (art. 14 CE), lo que vale igualmente para el resto de las quejas contenidas en el presente recurso de amparo, pues, de acuerdo con la doctrina constitucional, el art. 23.2 CE concreta, sin reiterarlo, ese mandato (SSTC 75/1983, de 3 de agosto, FJ 3; 50/1986, de 23 de abril, FJ 4, y 154/2003, de 17 de julio, FJ 6), siendo este,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 14 CE (SSTC 191/2007, de 10 de septiembre, FJ 3, y 39/2008, de 10 de marzo, FJ 4), que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descarta que la privación de las percepciones derivadas de la dedicación exclusiva constituya una lesión de este derecho fundamental al ejercicio del cargo público en condiciones de igualdad (art. 23.2 CE). Trae a colación lo dicho en la STC 169/2009, de 9 de julio, FJ 4, según la cual “la pérdida de la posibilidad de desarrollar su actividad en régimen de dedicación exclusiva, así como los beneficios económicos y la infraestructura asociada al grupo, son limitaciones que, con carácter general, no pueden considerarse lesivas de los derechos que consagra el art. 23 CE”, declaración que, a su juicio, resulta trasladable al presente caso, al carecer de relevancia a los efectos de que aquí se discute que en el supuesto resuelto por aquella sentencia se tratase de diputados provinciales y en el presente de un diputado autonómico. Lo anterior determina que deba desestimarse esta pretensión de amparo, careciendo “por completo de sentido que e[l] Tribunal Constitucional llegue a considerar siquiera la posibilidad de plantearse una cuestión de inconstitucionalidad relativa al artículo 39.5 RAE [Reglamento de la Asamblea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juicio del fiscal, procede descartar la vulneración de los derechos fundamentales a la dignidad personal (art. 10 CE), a la igualdad y a la no discriminación (art. 14 CE), al honor (art. 18.1 CE) y al ejercicio del cargo público en condiciones de igualdad (artículo 23 CE) causada por la adjudicación al recurrente, mediante acuerdo MA242/A2/18-IX, de un nuevo escaño en el salón de plenos, y por haberle sido denegado, mediante acuerdo MA242/A4/18-IX un despacho para el desarrollo de su actividad parlamentaria. Para ello, se remite a lo anteriormente expuesto con reiteración de la declaración contenida en la STC 169/2009, de 9 de julio, FJ 4, añadiendo que dichas decisiones no han podido afectar en modo alguno al honor ni a la dignidad personal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se refiere el ministerio público al motivo que denuncia la vulneración del derecho fundamental del recurrente al ejercicio del cargo público en condiciones de igualdad (art. 23.2 CE) por la adjudicación al mismo de la condición de “diputado no adscrito". Tras reproducir la doctrina constitucional contenida en la STC 10/2018, de 5 de febrero, FJ 3, y en el fundamento jurídico 6 de la STC 151/2017, de 21 de diciembre, en la que se funda la demanda, argumenta que, sobre este punto, la mesa de la Asamblea se limitó a aplicar estrictamente lo establecido en el art. 39.2 del Reglamento de la Asamblea, cumpliendo así con “legalidad parlamentaria” según la cual el diputado que abandona voluntariamente su grupo parlamentario necesariamente tiene que adquirir la condición de diputado “no adscrito” y bajo ningún concepto puede integrarse ni en el grupo mixto ni en ningún otro grupo parlamentario. Tal “legalidad parlamentaria” tiene por finalidad, en este concreto punto, desincentivar en la medida de lo posible lo que se ha venido conociendo como “transfuguismo político", respecto del cual la STC 151/2017, de 21 de diciembre, FJ 6, ha dejado dicho (aunque para concejales “no adscritos” de una corporación local), que las restricciones o limitaciones impuestas responden, en principio, a un fin legítimo. La mera atribución al interesado de la condición de diputado “no adscrito” constituye una medida que, en sí misma considerada, obedece a un fin legítimo, con independencia de si los acuerdos impugnados vulneran los derechos integrantes del ius in officium al limitar desproporcionadamente sus facultades de actuación como parlamentario, cuestión que aborda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el régimen de intervenciones parlamentarias fijado para el diputado demandante en el acuerdo MA242/A1/18-IX y completado en el acuerdo MA246/A14/18-IX, recuerda el fiscal que la demanda se queja de cinco aspectos concretos que analiza de modo individualizado. Aclara previamente y con alcance general que dicho análisis ha de partir de los siguientes principios, ya anunciados: i) que las limitaciones o restricciones a los diputados “no adscritos” son, en principio, legítimas; ii) que, sin embargo, tales limitaciones o restricciones no pueden operar sobre los derechos integrantes del ius in officium, en contra de la garantía constitucional de igualdad; iii) que esta garantía de igualdad ha de armonizarse, además, de manera insoslayable, con la libertad de mandato del interesado, y iv) que, “en todo caso, los derechos parlamentarios inherentes a la condición de diputado ‘no adscrito’ no pueden ser equiparados (como se viene a desprender del completo tenor de la demanda de amparo) con los que corresponden a los grupos parlamentarios, pues en tal caso la desproporción se produciría en perjuicio de estos, que estarían como tales sujetos a las mismas condiciones de intervención parlamentaria que el diputado carente de adscripción”.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distingue: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 la queja relativa a la limitación de la participación del demandante en los debates de “especial relevancia”, según el acuerdo MA242/A1/18-IX, considera que la indefinición de este concepto fue mitigado por la aclaración efectuada en el acuerdo MA246/A14/18-IX y que el interesado parece estar conforme con tal aclaración, según la cual podría participar en el debate de orientación política general de la Junta de Extremadura, en el debate del proyecto de ley de presupuestos generales, en el debate de la moción de censura, en el debate de la moción de confianza y en todos los debates monográficos, salvo en dos aspectos (relativos a su intervención en los debates de totalidad del artículo 163 del Reglamento de la Asamblea de Extremadura y en los debates de los decretos-leyes), lo que determina que tal limitación no ha lesionado el ius in officium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cambio, se habría lesionado el ius in officium del recurrente al reconocerle únicamente la posibilidad de intervenir con una interpelación y una pregunta a consejero por periodo de sesiones (todo ello ante el pleno) y con una pregunta oral a altos cargos del gobierno regional y consejeros por período de sesiones (todo ello ante una comisión), al no haber motivado la mesa las razones de su determinación. Razona el fiscal que la mesa ha limitado su argumentación, de un lado, a invocar razones de proporcionalidad, y, de otro, a remitirse a unos cupos acordados previamente, sin concretar en modo alguno cómo han sido aplicadas al caso concreto esas reglas de proporcionalidad, ni cómo han sido respetados los cupos fijados con anterioridad, lo cual sería en todo caso exigible al objeto de comprobar si la medida ha sido proporcionada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misma vulneración se produce por la limitación consistente en la imposibilidad de intervenir en los debates de totalidad, en los debates de los decretos-leyes, en las propuestas de impulso y en las de pronunciamiento en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los déficits de regulación del artículo 39 del Reglamento de la Asamblea “han de obligar a la mesa, en cuanto órgano competente, a efectuar una labor de subsanación que habrá de guiarse por la idea o el propósito de facilitar, no de impedir, la participación de los diputados ‘no adscritos’, en tanto en cuanto la existencia de estos está prevista por la norma reglamentaria, en tanto en cuanto las limitaciones o restricciones que puedan imponerse a los mismos no pueden operar sobre los derechos integrantes del ius in officium, en contra de la garantía constitucional de igualdad, y en tanto en cuanto esta garantía de igualdad que se contiene en el artículo 23 CE ha de armonizarse de manera insoslayable con la libertad de mandato del interesado”, a lo que hay que añadir que “la mesa no ha motivado, en términos satisfactorios para la tutela de los derechos fundamentales, las razones por las que estos diputados, que según su criterio pueden participar en el debate de orientación política general de la Junta de Extremadura, en el debate del proyecto de ley de presupuestos generales, en el debate de la moción de censura, en el debate de la moción de confianza y en todos los debates monográficos, no deban hacerlo en debates tan relevantes como los debates de totalidad y los de los decretos-leyes, cuya inclusión en el núcleo esencial del ius in officium del diputado ha de carecer de duda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refiere el ministerio público al alcance del amparo a otorgar, proponiendo que se limite a los acuerdos concretos indicados más arriba con reconocimiento del derecho del demandante a ejercer sus funciones representativas con los requisitos que señalan las leyes (art. 23.2 CE), en conexión con el derecho de los ciudadanos a participar en los asuntos públicos a través de sus representantes (art. 23.1 CE), y declaración de nulidad de tales acuerdos, sin que procedan otras medidas destinadas al pleno restablecimiento de los derechos vulnerados por la mesa de la Asamblea de Extremadura, toda vez que los acuerdos que deben declararse nulos fueron aprobados en el transcurso de una legislatura ya finalizada.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escrito presentado el día 5 de julio de 2019, el letrado de la Asamblea de Extremadura formuló sus alegaciones en las que termina suplicando que se inadmita o, en su defecto, se desestime el recurso de amparo, “declarando que no se ha vulnerado ninguno de los derechos fundamentales de la Constitución en las resoluciones de la mesa de la Asamblea de Extremadura en relación al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los antecedentes, comienza el letrado de la cámara aduciendo que el presente recurso adolece de uno de los requisitos esenciales en el recurso de amparo constitucional, como es la falta de agotamiento de la vía previa de acuerdo con el art. 42 LOTC que refiere expresamente que se podrán impugnar los acuerdos sin valor de ley de las asambleas legislativas de las comunidades autónomas, en el plazo de tres meses desde que dichos actos adquirieran firmeza conforme a sus normas propias. A su juicio, el recurrente no habría agotado debidamente la vía al no haber empleado el recurso de reconsideración que el artículo 50.5 del Reglamento de la Asamblea de Extremadura establece frente a los acuerdos de la mesa. Cita la STC 20/2008 y afirma que el interesado se limitó a solicitar una aclaración del acuerdo de la mesa, en base al art. 19 del Reglamento, procedimiento que no permite que el “acto administrativo” adquiera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y para el caso de que la inadmisión solicitada no sea acogida favorablemente, argumenta el letrado de la asamblea parlamentaria autonómica que el recurso debe ser desestimado dado que los acuerdos recurridos respetan el núcleo de la función representativa del diputado demandante de amparo. Este núcleo, que estaría conformado por el derecho a participar en los distintos órganos que constituyen la asamblea, el derecho a votar y a disponer de los medios necesarios para llevar a cabo su función, se habría respetado en cuanto que, según resulta de los documentos que acompaña a su escrito, el diputado recurrente habría participado “con voz y voto en la comisión que él indicó, esto es, la Comisión de Cultura, Igualdad, Juventud y Deportes”; habría presentado “enmiendas parciales en la tramitación de cuantas iniciativas legislativas ha considerado pertinente enmendar”; habría participado “con voz en todas las comisiones de la cámara, incluyendo las comisiones de investigación”; “se le ha facilitado puntual información de los acuerdos adoptados por los órganos parlamentarios”; ha intervenido “en todos los debates del pleno que ha estimado oportunos”; ha ejercido “su derecho al voto en todos los órganos a los que pertenece de pleno derecho”; ha percibido “dietas e indemnizaciones por gastos derivados de su asistencia a los órganos de la cámara a los que ha pertenecido”; y ha recibido “cumplida respuesta a sus solicitudes de información para el mejor cumplimiento de sus funciones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refiere a la denuncia de haber faltado a la dignidad y al honor del diputado demandante como consecuencia de la asignación de un determinado escaño, calificación que niega, argumentando que, tras la renuncia del recurrente a seguir perteneciendo al grupo parlamentario Popular, se le asignó un escaño en la misma fila que la de otros diputados pertenecientes a dicho grupo, si bien dejando un espacio entre ellos para visualizar su no pertenencia al mismo y no, como pretende el recurrente, con finalidad de aislamiento. Sostiene que se adoptó un acuerdo basado en razones organizativas y siguiendo los criterios de actuaciones precedentes, sin ninguna connotación peyorativa.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las asignaciones económicas derivadas de su función representativa, señala el letrado de la Asamblea de Extremadura que el demandante ha percibido las cuantías fijadas por la mesa, oída la junta de portavoces, por su asistencia a los órganos de la cámara de los que forma parte, así como los gastos de transporte, impidiendo el art 39 del Reglamento su permanencia en el régimen de dedicación exclusiva, lo cual en ningún caso resulta contrario a la Constitución con base en la interpretación jurisprudencial según la cual el derecho a la percepción de un salario u otra compensación económica no se halla incardinado dentro del núcleo esencial de la función representativa (SSTC 96/1988, 141/2007, 169/2009, 246/2012 y 36/2014,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acuerdo de 1 de octubre de 2019 y a propuesta de la Sala Primera, el Pleno acordó recabar el conocimiento del presente recurso de amparo 5336-2018.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diciembre,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Juan Antonio Morales Álvarez, impugna en amparo, por la vía del art. 42 de la Ley Orgánica del Tribunal Constitucional (LOTC), varios acuerdos dictados por la mesa de la Asamblea de Extremadura por los que se atribuye al recurrente, miembro de dicha cámara que había manifestado su voluntad de dejar de pertenecer al grupo parlamentario popular, la condición de diputado no adscrito y se delimitan las atribuciones y derechos que en dicha condición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según se ha dejado constancia detallada en los antecedentes de esta sentencia, se trata de los siguientes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Acuerdo MA242/A1/18-IX, de 11 de julio de 2018,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diputado no adscrito formará parte de una Comisión, la que designe en escrito dirigido a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diputado no adscrito podrá presentar las iniciativas parlamentarias para las que ostentan legitimación los diputados considerados de forma individual. La mesa, atendiendo a la proporcionalidad y conforme a los cupos acordados en sesión de 31 de agosto de 20 15, acuerda los siguientes cupos: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Interpelaciones: una por período de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Preguntas a los Consejeros: una por período de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Preguntas orales a los altos cargos del Gobierno regional y consejeros: una por período de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diputado no adscrito podrá intervenir en los debates de especial relevancia, después de los turnos reservados a los grupos parlamentarios, con un turno de explicación de voto. Para hacer efectivo este derecho deberá solicitarlo ante la mesa con anterioridad al inicio del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diputado no adscrito percibirá únicamente las indemnizaciones por asistencia a los órganos de la cámara de que forme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diputado no adscrito podrá solicitar, para el ejercicio de sus funciones representativas, disponer de una sala con la finalidad de mantener reuniones con personas ajenas a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Acuerdo MA242/A2/18-IX, de esta misma fecha, que asignó al recurrente el escaño núm. 72 del salón de plenos.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Acuerdo MA242/A3/18-IX, también de 11 de julio de 2018, que denegó “la solicitud de mantener el régimen de dedicación exclusiva por contravenir dicha petición lo dispuesto en el artículo 39.5 del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Acuerdo MA242/A4/l8-IX, de la misma fecha anterior, que rechazó “la petición del despacho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Acuerdo MA246/A14/18-IX, de 6 de septiembre de 2018, por el que, a solicitud del interesado, se efectúan aclaraciones respecto del ejercicio de su actividad parlamentaria como diputado no adscrito. En síntesis: (i) se incluyen entre los “debates de especial relevancia” el debate sobre la orientación política general de la Junta de Extremadura, debates de presupuestos, aquellos plenos en los que se sustancie una moción de censura o una cuestión de confianza y los debates monográficos; (ii) se rechaza la posibilidad de intervenir en los “debates de totalidad”; (iii) se admite presentación de enmiendas al articulado de iniciativas legislativas; (iv) se rechaza la posibilidad de estar presente en las reuniones de la mesa de las comisiones en las que se califiquen y admitan a trámite las enmiendas que cumplan los requisitos reglamentarios, así como de participar en las ponencias y (v) se rechaza su participación en el debate de los decretos leyes y en los relativos a las propuestas de impulso y de pronunciamiento en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Acuerdo MA254/A5/18-IX, de 9 de octubre de 2018, que rechazó las peticiones formuladas por el recurrente en requerimiento de amparo, dirigido a la mesa de conformidad con lo establecido en el art. 19.3 del Reglamento de la Asamblea de Extremadura, y ratificó los acuerdos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plantea, en síntesis, la vulneración por los acuerdos impugnados de los derechos fundamentales del recurrente a la igualdad y no discriminación (art. 14 CE), al ejercicio de cargo público en condiciones de igualdad (art. 23.2 CE), a su dignidad (art. 10 CE) y a su honor (art. 18.1 CE), al establecer su estatus como diputado no adscrito fijando una serie de restricciones injustificadas, limitando sus derechos y colocándosele en un rango inferior o de segunda categoría con respecto al resto de los diputados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argumentos que detalladamente se han expuesto en los antecedentes, propone la estimación parcial del recurso de amparo al entender que ha sido vulnerado el derecho fundamental del demandante a ejercer sus funciones representativas con los requisitos que señalan las leyes (art. 23.2 CE) en conexión con el derecho de los ciudadanos a participar en los asuntos públicos a través de sus representantes (art. 23.1 CE) por parte de la mesa de la Asamblea de Extremadura al establecer las restricciones relativas a los cupos de intervenciones del recurrente ante el pleno y ante una comisión y al impedir su participación en los debates de totalidad y de decretos-leyes, así como en los relativos a las propuestas de impulso y de pronunciamiento en pleno. A su juicio, aun persiguiendo una finalidad constitucionalmente legítima, la mesa no ha motivado debidamente dichas restricciones del ius in officium del diputado demandante, lo que resulta determinante al objeto de comprobar si las medidas han sido proporcionadas y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letrada de la Asamblea de Extremadura solicita la inadmisión del recurso de amparo con sustento en que el recurrente no habría agotado debidamente la vía previa al recurso de amparo al no haber empleado el recurso de reconsideración que el art. 50.5 del Reglamento de la Asamblea de Extremadura establece frente a los acuerdos de la mesa. Subsidiariamente, postula la desestimación del recurso porque, a su juicio y en síntesis, los acuerdos recurridos respetan el núcleo de la función representativa del diputado demandante de amparo integrado por el derecho a participar en los distintos órganos que constituyen la Asamblea, el derecho a votar y a disponer de los medios necesarios para llevar a cabo su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para la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pretensiones de la demanda de amparo, debemos pronunciarnos sobre la concurrencia de los requisitos para su admisibilidad establecidos en la Ley Orgánica del Tribunal Constitucional (LOTC), pues, como hemos declarado en otras ocasiones (STC 154/2016, de 22 de septiembre, FJ 2 y más recientemente en STC 130/2018, de 12 de diciembre, FFJJ 3 a 5),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42 LOTC permite la impugnación a través del recurso de amparo de los acuerdos sin valor de Ley de las asambleas legislativas de las comunidades autónomas una vez que, con arreglo a las normas internas de las cámaras, sean firmes. Este Tribunal ha entendido que dicha firmeza exige, efectivamente, agotar las instancias internas parlamentarias previamente a la interposición del recurso de amparo (por todas, STC 27/2000, de 31 de enero, FJ 2); y el incumplimiento de este requisito lo hemos considerado causa de inadmisibilidad por “falta de agotamiento de la vía previa” (SSTC 20/2008, de 31 de enero, FJ 4, y 119/2011,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adelantado, la representación letrada de Asamblea de Extremadura considera que los acuerdos recurridos no habrían adquirido firmeza, requisito exigido por el art. 42 LOTC, al no haber empleado el diputado demandante el recurso de reconsideración que prevé el art. 50.5 del Reglamento de la Asamblea, sin que la solicitud de aclaración que dirigió a la mesa, en base al art. 19 del citado Reglamento, fuera suficiente a tales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debe ser rechazado desde el momento que se constata que el recurso de reconsideración, según el propio art. 50 del Reglamento de la cámara, se circunscribe a los actos de ejercicio de la función de calificación por parte de la mesa —“los acuerdos de la mesa por los que no se califiquen o admitan a trámite” iniciativas parlamentarias, según el art. 50.5—, lo que no es el caso. Como se ha expresado, los actos parlamentarios impugnados, lejos de ser manifestación del ejercicio de la función de calificación que corresponde a la mesa (art. 50 del citado Reglamento), se refieren al estatus del recurrente como diputado no adscrito, enmarcándose en el art. 39 del Reglamento, que atribuye a dicho órgano competencia para “resolver cuantas cuestiones pudieran plantearse en relación con la situación y posibilidades de actuación” de los diputados así calificados (art. 39.6 del Reglamento). Este precepto no prevé el recurso de reconsideración ni ningún otro medio de revisión de los acuerdos de la mesa sobre esta materia; y ese silencio se llevó al texto de los impugnados en cuanto que al pie de los mismos, incluido el último de ellos, que abrió la vía del recurso de amparo, no figura indicación alguna sobre la posibilidad de interponer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cabe añadir que, materialmente, la reconsideración se llevó a cabo por la mesa de la cámara al resolver el requerimiento de amparo que efectuó el recurrente, de acuerdo con el art. 19.2 del Reglamento según el cual “los diputados tendrán derecho a requerir el amparo de la mesa o del presidente de la cámara en el ejercicio de sus funciones como diputado”. Por esta vía se dio al órgano parlamentario ocasión para reexaminar sus anteriores acuerdos que delimitaban las atribuciones del diputado no adscrito. Un segundo recurso no solo resultaría improcedente conforme al Reglamento sino que hubiera sido redundante.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ninguna de las partes comparecidas ha puesto en duda la especial trascendencia constitucional de este recurso, que es requisito para su admisión de conformidad con los arts. 49.1 y 50.1 b) de nuestra Ley Orgánica reguladora y, por consiguiente, de orden público procesal (entre otras, STC 113/2012, de 24 de mayo, FJ 2, y las allí citadas), exigencias de certeza y buena administración de justicia (STEDH de 20 de enero de 2015, asunto Arribas Antón contra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el recurso de amparo al apreciar que concurría en el mismo especial trascendencia constitucional (art. 50.1 LOTC) “porque el recurso plantea un problema o afecta a una faceta de un derecho fundamental sobre el que no hay doctrina de este Tribunal [STC 155/2009, FJ 2 a)]”, y la posible vulneración del derecho fundamental que se denuncia pudiera provenir de la ley o de otra disposición de carácter general [STC 155/2009, FJ 2 c)]”. Se consideró para ello la novedad que supone, a los efectos del derecho fundamental a que se refiere el artículo 23.2 CE en relación con el artículo 23.1 CE, la figura del diputado “no adscrito” por la restricción de sus atribuciones como parlamentario, y se valoró la posibilidad de que algunas de las limitaciones eventualmente lesivas de dicho derecho fundamental pudieran provenir, según se propone por la parte demandante, no ya de los actos aplicativos de la mesa sino de la norma contenida en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examen de fondo del recurso de amparo, es necesario realizar dos consideraciones previas con el fin de delimitar su objeto y encuadrar debidamente el análisis que corresponde llevar a cabo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como indica el ministerio fiscal, hemos de descartar de entrada la aplicación del artículo 14 CE. De acuerdo con reiterada doctrina constitucional, “el artículo 23.2 CE especifica el derecho a la igualdad en el acceso a las funciones y cargos públicos, siendo este,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artículo 14 CE” (SSTC 191/2007, de 10 de septiembre, FJ 3, y 39/2008, de 10 de marzo, FJ 4), La invocación del derecho a la igualdad y a no sufrir discriminación (art. 14 CE) debe entenderse subsumida en el derecho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procede descartar liminarmente la afectación del honor del recurrente por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Brevemente debemos recordar que el derecho fundamental al honor (art. 18.1 CE), estrechamente conectado con la dignidad humana (STC 208/2013, de 16 de diciembre, FJ 3), “ampara la buena reputación de una persona, protegiéndola frente a expresiones o mensajes que la hagan desmerecer en la consideración ajena al ir en su descrédito o menosprecio o que sean tenidas en el concepto público por afrentosas” (STC 133/2018, de 13 de diciembre, FJ 4, con cita de SSTC 14/2003, de 28 de enero, FJ 12; 127/2003, de 30 de junio, FJ 6; 216/2006, de 3 de julio, FJ 7; 51/2008, de 14 de abril, FJ 3, y 208/2013,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atribución al recurrente de un nuevo escaño en el salón de plenos, no incide negativamente per se en la consideración que los demás puedan tener de él. Debemos tener en cuenta que el escaño asignado no difiere de los otros del salón de plenos, hallándose en la misma fila que los atribuidos al grupo parlamentario popular y justificándose que se deje un espacio para visualizar su no pertenencia al mismo, según nos indica el letrado de la Asamblea. Por otro lado, las características de los edificios de los que dispone la institución parlamentaria autonómica, según indica el acuerdo MA242/A4/l8-IX, “hace[n] imposible asignar un despacho individual por diputado”. Ninguno de estos extremos ha sido contradicho por la parte demandante. Cuestión diferente, que pasamos a examinar, es si tales decisiones incidieron en el núcleo constitucionalmente protegido del ius in officium que, como parlamentario, correspondía al recurrente ex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constitucional sobre los derechos del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que el derecho fundamental concernido en este recurso de amparo es el de acceso a los cargos públicos (art. 23.2 CE), en relación con el derecho de los ciudadanos a participar en los asuntos públicos a través de representantes libremente elegidos en elecciones periódicas por sufragio universal (art. 23.1 CE), a fin de determinar si se han lesionado estos derechos es necesario traer a colación la doctrina constitucional sobre el contenido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23.2 CE, en lo que ahora interesa y dejando al margen el derecho de acceso a las funciones públicas, reconoce el derecho de todos a acceder en condiciones de igualdad a los cargos públicos con los requisitos que señalen las leyes. El contenido del derecho se extiende a la permanencia en el ejercicio del cargo público y a desempeñarlo de acuerdo con la ley, sin constricciones o perturbaciones ilegítimas [SSTC 10/1983, de 21 de febrero, FJ 2; 32/1985, de 6 de marzo, FJ 3; 220/1991, de 25 de noviembre, FJ 5; 71/1994, de 3 de marzo, FJ 6; 109/206, de 7 de junio, FJ 3 a); 11/2017, de 10 de enero, FJ 3 a), y 139/2017, de 29 de noviembre, FJ 4 a)], pues “la norma constitucional perdería toda eficacia si, respetado el acceso a la función o cargo público en condiciones de igualdad, su ejercicio pudiera resultar mediatizado o impedido sin remedio jurídico” (STC 161/1988, de 20 de septiembre, FJ 6). Esta garantía adquiere especial relevancia cuando se trata, como sucede aquí, de representantes parlamentarios en defensa del ejercicio de sus funciones, ya que ello comporta defender también el derecho mismo de los ciudadanos a participar a través de la institución de la representación en los asuntos públicos reconocido en el art. 23.1 CE [STC 32/2017, de 27 de febrero, FJ 3, con cita de las SSTC 161/1988, de 20 de septiembre, FJ 6; 177/2002, de 14 de octubre, FJ 3, y 40/2003, de 27 de febrero,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esta relación entre los derechos reconocidos en ambos apartados del artículo 23 CE, este Tribunal tiene dicho que cuando se trata de cargos representativos el derecho enunciado en el artículo 23.2 CE ha de ponerse en conexión con el derecho fundamental de los ciudadanos a participar en los asuntos públicos por medio de representantes, libremente elegidos en elecciones periódicas por sufragio universal (art. 23.1 CE). Relación de obligada constatación si se tiene en cuenta que son los representantes, justamente, quienes actualizan aquel derecho de los ciudadanos a participar en los asuntos públicos, al margen ahora del carácter directo que el propio precepto garantiza. Se trata de “dos derechos que encarnan la participación política de los ciudadanos en el sistema democrático, en conexión con los principios de soberanía del pueblo y el pluralismo político consagrados en el art. 1 CE”, que se presuponen mutuamente y aparecen “como modalidades o variantes del mismo principio de representación política” [STC 185/1999, FJ 4 c), con cita de las SSTC 119/1985, de 11 de octubre, FJ 2, y 71/1989, de 20 de abril, FJ 3; doctrina que reitera STC 139/2017, FJ 4 d)]. De suerte que el derecho del artículo 23.2 CE, así como indirectamente el que el artículo 23.1 CE reconoce a los ciudadanos, quedaría vacío de contenido, o sería ineficaz, si el representante político se viese privado del mismo o perturbado ilegalmente en su ejercicio [SSTC 119/2011, de 5 de julio, FJ 3; 109/2016, FJ 3 a); 11/2017, FJ 3 a); 139/2017, FJ 4 d), y 49/2018,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al desempeño de cargos públicos representativos sin perturbaciones ilegítimas ha sido clasificado entre aquellos cuya configuración se defiere constitucionalmente a la Ley, a cuyos “requisitos” ha de acomodarse su ejercicio, como advierte el inciso final de la norma (STC 104/1995, de 3 de julio, FJ 2, con cita de SSTC 161/1988, de 20 de septiembre, y 24/1989, de 2 de febrero). Es un derecho de configuración legal y, en consecuencia, compete a la Ley, comprensiva de los Reglamentos parlamentarios, el ordenar los derechos y facultades que corresponden a los distintos cargos públicos (STC 161/1988, de 20 de septiembre, FJ 7), pasando aquellos, en virtud de su creación legal, a quedar integrados en el estatus propio de cada cargo, con la consecuencia de que sus titulares podrán defender, al amparo del artículo 23.2 CE, el ius in officium que consideren ilegítimamente constreñido o ignorado por actos de los poderes públicos [SSTC 27/2000, de 31 de enero, FJ 4; 36/20014, de 27 de febrero, FJ 5; 107/2016, de 7 de junio, FJ 4 B); 143/2016, de 19 de septiembre, FJ 3; 224/2016, de 19 de diciembre, 2 b); 11/2017, FJ 3 b); 47/2018, FJ 3 b), y 49/2018, FJ 4], correspondiendo a los órganos parlamentarios la formulación de una exégesis restrictiva de las normas que supongan una limitación de algunos derechos y la motivación de las razones de su aplicación (por todas, STC 115/2019, de 16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su carácter de derecho de configuración legal, como ha destacado reiteradamente este Tribunal, no nos puede hacer olvidar que los derechos del art. 23.2 son derechos fundamentales (STC 24/1990, de 15 de febrero, FJ 2) debiendo, por tanto, el propio Tribunal revisar si ha quedado afectada la integridad de estos derechos. “De no ser así”, concluíamos entonces, “los derechos fundamentales de configuración legal quedarían degradados al plano de la legalidad ordinaria” (STC 24/1990, de 15 de febrero, FJ 2). El legislador puede establecer libremente las condiciones que estime más adecuadas, si bien su libertad tiene limitaciones que son, de una parte, las generales que imponen el principio de igualdad y los derechos fundamentales que la Constitución garantiza y, de otra, cuando se trata de cargos públicos de carácter representativo, la necesidad de salvaguardar su naturaleza [SSTC 10/1983, de 21 de febrero, FJ 2; 24/1990, de 15 de febrero, FJ 2; 185/1999, de 11 de octubre, FJ 4 a); 154/2003, de 17 de julio, FJ 6 a), y 135/2004, de 5 de agosto,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fundamental a acceder y permanecer en el ejercicio de las funciones y cargos públicos representativos no es, al igual que ocurre con el resto de los derechos, incondicionado o absoluto; no es ilimitado. Por el contrario, se trata de un derecho delimitado en su contenido tanto por su naturaleza como por su función. En este punto se ha sostenido que “la doble función o ‘doble carácter’ de la mayoría de los derechos fundamentales (STC 25/1981, de 14 de julio, FJ 5), su carácter de derecho subjetivo y su carácter de elemento objetivo del orden democrático, acaso no sea nunca tan patente como en el caso del derecho que nos ocupa” (STC 71/1994, de 3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representantes parlamentarios, este Tribunal ha destacado con reiteración (últimamente, entre otras, en las SSTC 10/2018, de 5 de febrero, FJ 3, y 47/2018, de 26 de abril, FJ 3) que compete a los Reglamentos de las cámaras correspondientes “fijar y ordenar los derechos y atribuciones propios de los parlamentarios que, una vez creados, quedan integrados en el estatus propio de su cargo, con la consecuencia de que podrán sus titulares, al amparo del artículo 23.2 CE, reclamar su protección cuando los consideren ilegítimamente constreñidos o ignorados por actos del poder público, incluidos los provenientes del propio órgano en el que se integren (STC 36/2014, de 27 de febrero, FJ 5, y las allí citadas)” [SSTC 107/2016, de 7 de junio, FJ 4 B) a); 108/2016, de 7 de junio, FJ 4 B) a), y 115/2019, de 16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Constitución no ha asumido en el artículo 23.2 CE un genérico derecho fundamental al respeto de todos y cada uno de los derechos y facultades del estatuto del parlamentario, sino tan sólo el de aquellos que pudiéramos considerar pertenecientes al núcleo de la función representativa, como son, principalmente, los que tienen relación directa con el ejercicio de las potestades legislativas y de control de la acción del gobierno [SSTC 220/1991, de 25 de noviembre, FJ 5, y 139/2017, de 29 de noviembre, FJ 4]. En consecuencia, “no cualquier acto del órgano parlamentario que infrinja la legalidad del ius in officium resulta lesivo del derecho fundamental, pues solo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solo de vulnerar el derecho fundamental del representante de los ciudadanos a ejercer su cargo (art. 23.2 CE), sino también de infringir el de estos a participar en los asuntos públicos ex art. 23.1 CE (SSTC 38/1999, FJ 2; 107/2001, FJ 3, y 40/2003, FJ 2, entre otras muchas)” [SSTC 1/2015, de 19 de enero, FJ 3; 23/2015, de 16 de febrero, FJ 3; 10/2018, de 5 de febrero, FJ 3, y 115/2019, de 16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derecho de acceso y ejercicio de cargos públicos representativos sin perturbaciones se impone también, en su contenido esencial, al legislador. De ahí que la adecuación a la Constitución de las limitaciones o restricciones que afecten a su núcleo esencial, exija, además de respeto a los imperativos del principio de igualdad, que se “ordenen a un fin legítimo, en términos proporcionados a dicha válida finalidad” (STC 71/1994, de 3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también en relación con las facultades integradas en el contenido central del ius in officium de los cargos parlamentarios, la STC 139/2017, de 29 de noviembre, FJ 6, ha recordado el mandato constitucional dirigido al legislador (en aquel caso, a los reglamentos de las cámaras) de respetar el “contenido esencial” del derecho fundamental (art. 53.1 CE). De acuerdo con la formulación general que viene empleando este Tribunal, se quebranta dicho mandato con la imposición de condiciones o requisitos de ejercicio del derecho “si lo vacían de contenido, lo someten a limitaciones que lo hacen impracticable o dificultan su ejercicio más allá de lo razonable, lo desnaturalizan o resulta irreconocible como tal derecho (SSTC 11/1981, de 8 de abril, FJ 8; 37/1987, de 26 de marzo, FJ 2; 161/1987, de 27 de octubre, FJ 5; 196/1987, de 11 de diciembre, FJ 5, y 204/2004, de 18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Llegados a este punto, debemos resaltar la exigencia de motivación ex art. 23.2 CE de los acuerdos parlamentarios que lleven a cabo estas limitaciones o restricciones del ius in officium. Como ya hemos destacado, la STC 115/2019, de 16 de octubre, en su FJ 4, reconoce que: “los órganos parlamentarios, a los que se ha de reconocer margen interpretativo suficiente para ello: i) deben formular una exégesis restrictiva de todas aquellas normas que puedan suponer una limitación al ejercicio de aquellos derechos o atribuciones que integran el estatuto constitucionalmente relevante del representante público; y ii) deben motivar, en su caso, las razones de su aplicación, bajo pena, no solo de vulnerar el derecho fundamental del representante de los ciudadanos a ejercer su cargo (art. 23.2 CE), sino también de infringir el de la ciudadanía a participar en los asuntos públicos ex art. 23.1 CE (en este sentido, por todas, SSTC 200/2014, de 15 de diciembre, FJ 4 a); 139/2017, de 29 de noviembre, FJ 4, y 34/2018, de 12 de abril, FJ 4)”. Añadimos ahora, siguiendo la doctrina recogida en el fundamento anterior, que la motivación de los acuerdos del órgano parlamentario resulta esencial para llevar a cabo el juicio de proporcionalidad de la diferencia de trato. La motivación es lo que permitirá dirimir si la restricción de que se trate, en relación con las atribuciones del resto de diputados, resulta proporcionada por derivarse de su aplicación más beneficios o ventajas para el interés general que perjuicios sobre otros bienes o intereses en conflicto (STC 151/2017, de 21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Exclusión de los derechos de contenido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la doctrina recopilada en el fundamento jurídico anterior y, específicamente, con la que sostiene que las facultades integrantes del núcleo de la función representativa son, principalmente, los que tienen relación directa con el ejercicio de las potestades legislativas y de control de la acción del gobierno, este Tribunal, en STC 36/2014, de 27 de febrero, ha rechazado que las retribuciones de los parlamentarios autonómicos formen parte del núcleo esencial del derecho de acceso, permanencia y ejercicio de cargos públicos representativos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que fundan ese pronunciamiento aparecen sistematizadas en el fundamento jurídico 6 de dicha STC 36/2014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“Ya en la STC 28/1984, de 28 de febrero, este Tribunal estimó parcialmente el recurso de amparo interpuesto por varios parlamentarios forales de Navarra que cesaron en su condición de parlamentarios forales en virtud de una causa no prevista en la normativa aplicable, estimando que los acuerdos impugnados vulneraban el derecho fundamental previsto en el art. 23.2 de la Constitución, que ‘comprende el derecho de no ser removido de un cargo público si no es en virtud de una causa legal’ (FJ 3). Sin embargo, a la hora de concretar el fallo, dicha sentencia precisa que: ‘en cuanto a la nulidad de los actos impugnados, no cabe duda de que procede declararla, si bien no podemos extender el efecto de la declaración a condenar al Parlamento Foral —como se pretende— a que abone a los actores las cantidades dejadas de percibir, dado que el derecho fundamental se circunscribe al derecho al cargo y a permanecer en el mismo, pero no comprende el derecho al percibo de las cantidades que puedan estar previstas en las leyes o normas aplicables’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se reitera en la STC 96/1988, de 26 de mayo, en la que este Tribunal desestimó el amparo solicitado por un diputado del Parlamento de Cataluña que alegaba el derecho a simultanear el cobro de las retribuciones correspondientes a su cargo como parlamentario autonómico con las percibidas como funcionario de la Generalitat. En dicha sentencia fundamentamos la desestimación del recurso a partir de la afirmación de que el cobro de las retribuciones previstas para un cargo o función pública queda ‘fuera del ámbito del derecho consagrado en el art. 23.2 de la Norma suprema y no puede ser objeto desde este punto de vista de un recurso de amparo’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la hemos hecho extensiva a las asignaciones que se atribuyen a otros cargos representativos. Concretamente, en la STC 169/2009, de 9 de julio, hemos afirmado, en relación con los diputados provinciales no adscritos a ningún grupo político, que ‘la pérdida de la posibilidad de desarrollar su actividad en régimen de dedicación exclusiva, así como los beneficios económicos y la infraestructura asociada al grupo, son limitaciones que, con carácter general, no pueden considerarse lesivas de los derechos que consagra el art. 23 CE’ (FJ 4), y, en la STC 246/2012, de 20 de diciembre, hemos recordado, en relación con los miembros de una corporación local, que ‘la pérdida de los beneficios económicos’ como consecuencia de la no adscripción a un grupo político, no puede considerarse lesiva de los derechos que consagra el art. 23 CE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debemos precisar, en contra de la opinión que sostienen los recurrentes, que cuando el art. 71.4 CE prevé que ‘los diputados y senadores percibirán una asignación que será fijada por las respectivas cámaras’, se está refiriendo exclusivamente a los miembros de las Cortes Generales, lo que se deriva no solo de su tenor literal, sino también de la ubicación sistemática del precepto (que forma parte del título tercero de la Constitución, dedicado a las Cortes Generales), sin que pueda trasladarse dicha previsión constitucional, como pretenden los recurrentes, al ámbito de las asambleas legislativas o parlamentos autonómicos. Así, ya en la STC 36/1981, de 12 de noviembre, y respecto de los apartados primero y segundo del citado art. 71 CE, hemos dicho que ‘la Constitución guarda silencio sobre la inviolabilidad e inmunidad de los miembros de las asambleas legislativas de las comunidades autónomas y, a falta de tal regulación han sido los estatutos, en ‘cuanto norma institucional básica’ de la comunidad autónoma —art. 147.1 de la Constitución—, el lugar adecuado para concretar el estatus de los parlamentarios en cuanto a la inviolabilidad e inmunidad de los mismos se refiere’ (FJ 4), doctrina que debemos ahora extender a la ‘asignación’ económica a la que se refiere el art. 71.4 CE, concepto amplio que tal precepto expresa respecto al Congreso y al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examinamos, la mesa de la cámara parlamentaria autonómica resolvió, en el acuerdo MA242/A3/18-IX, “no acceder a la solicitud de mantener el régimen de dedicación exclusiva” del diputado ahora demandante, en aplicación de lo dispuesto en el artículo 39.5 del Reglamento de la Asamblea de Extremadura según el cual los diputados no adscritos “[n]o tendrán derecho a las percepciones derivadas de la dedicación exclusiva”, lo que la demanda considera contrario al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que ha sido expuesta, procede descartar esta queja en cuanto que el régimen de retribuciones que se reclama no forma parte de núcleo esencial del ius in officium del demandante reconocido por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limitaciones del ius in officium por razón del transfuguismo.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151/2017, de 21 de diciembre, a propósito de cuestión de inconstitucionalidad planteada respecto del artículo 197.1 a) de la Ley Orgánica 5/1985, de 19 de junio, de régimen electoral general, en la redacción dada por la Ley Orgánica 2/2011, de 28 de enero, nos hemos pronunciado sobre el fenómeno del transfuguismo (FJ 5) y sobre las condiciones para la adecuación al art. 23.2 CE de las restricciones o limitaciones del ius in officium impuestas legalmente con el fin de desincentivar esta práctica (FJ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dimanante de aquella sentencia, contenida en los fundamentos jurídicos 6 y 7, puede sistematizarse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restricciones o limitaciones impuestas a los concejales no adscritos responden “en principio […] a un fin legítimo” (STC 9/2012, de 18 de enero, FJ 4), ya que posee relevancia jurídica la adscripción política de los representantes (entre otras, en la STC 32/1985, de 6 de marzo, FJ 2), de modo que “el fin de intervenir frente al transfuguismo con una regulación jurídica es en principio constitucionalmente legítimo” [FJ 6 a)]. Se razona que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 CE), dotan de relevancia jurídica (y no sólo política) a la adscripción política de los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Tales limitaciones o restricciones no pueden operar, en contra de la garantía de igualdad, sobre los derechos integrantes del ius in officium, núcleo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garantía de igualdad antes referida ha de armonizarse con la libertad de mandato. En este punto, siguiendo la STC 123/2017, de 2 de noviembre, FJ 3, se recuerda que el mandato libre —que ha sido reconocido y preservado por la jurisprudencia constitucional con fundamento en el artículo 23 CE y pese a que para el ámbito local no exista norma análoga al artículo 67.2 CE— supone “la exclusión de todo sometimiento jurídico del representante, en cuanto tal, a voluntades políticas ajenas y proscribe por ello, en particular, que sobre él se hicieran pesar tanto instrucciones vinculantes en Derecho que pretendieran disciplinar su proceder, como asimismo cualquier tipo de sujeción, jurídicamente impuesta, a la confianza de sus electores (expresada del modo que se pretendiera) o de las organizaciones o grupos políticos en que se integre o en cuyas listas hubiera concurrido a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juicio de igualdad exige examinar la proporcionalidad de la diferencia de trato, considerando: (i) si la medida es idónea o adecuada para alcanzar el fin constitucionalmente legítimo perseguido por ella, antes enunciado (juicio de idoneidad); ii) si la medida idónea o adecuada es, además, necesaria, en el sentido de que no exista otra medida menos lesiva para la consecución de tal fin con igual eficacia (juicio de necesidad); y, iii) si la medida idónea y menos lesiva resulta ponderada o equilibrada, por derivarse de su aplicación más beneficios o ventajas para el interés general que perjuicios sobre otros bienes o intereses en conflicto, el denominado juicio de proporcionalidad en sentido estricto (FJ 7, con cita de la STC 89/2017, de 4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anterior resulta enteramente trasladable al caso que nos ocupa por ser igualmente predicable respecto de los representantes parlamentarios la relevancia jurídica de su adscripción política, lo que, siguiendo la STC 32/1985, ha venido reconociendo reiteradamente este Tribunal (así, por ejemplo, en las SSTC 63/1987, de 20 de mayo, FJ 7; 119/1990, de 21 de junio, FJ 4; 141/1990, de 20 de septiembre, FJ 6, y 93/1998, de 4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condición de diputado no adscrito en sí misma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impugnación que se hace valer en la demanda de amparo es que la condición de diputado no adscrito en sí misma considerada es lesiva del derecho fundamental del recurrente reconocido en el art. 23.2 CE. Según la demanda, la mera previsión de esta situación jurídica en el reglamento de la cámara autonómica, en la medida que da lugar a distintas categorías de parlamentarios, unos con más facultades representativas que otros, desconoce la igualdad en el ejercicio del cargo público que consagra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del recurrente no es coherente con la doctrina constitucional ya expuesta. Este Tribunal viene admitiendo de un modo reiterado que poner freno al transfuguismo político es una finalidad constitucionalmente legítima y puede justificar que el legislador imponga ciertas limitaciones en el estatus del representante político que se coloca en tal situación. Lo único que resultaría inconstitucional, según esa misma doctrina constitucional (por todas, la citada STC 151/2017), es que algunas de estas medidas legales limitativas entrasen en conflicto con la naturaleza constitucional del cargo representativo, que implica, entre otros rasgos, el no sometimiento del mandato a ningún vínculo jurídico externo y la igualdad en el ejercicio del núcleo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por tanto, la mera previsión de la condición de diputado no adscrito en el art. 39.2 del Reglamento de la Asamblea lo que resulta lesivo del derecho fundamental a la participación política (art. 23.2 CE) del recurrente, pues tal condición sería, en principio, plenamente constitucional si el régimen jurídico que se apareja a ella solo conllevase diferencias de trato que se justifiquen de un modo proporcionado en algún fin constitucionalmente legítimo o que se relacionen con aspectos no nucleares de la función representativa del diputado. La eventual vulneración del derecho fundamental invocado provendrá, en su caso, de alguna o algunas limitaciones concretas que, como consecuencia de pasar el demandante a esta determinada situación jurídica, se le han impuesto por la mesa en los acuerdos impugnados en este proceso, precisamente de aquellas que afecten al núcleo de la función representativa y lo hagan de un modo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concretas limitaciones del ius in officium asociadas a la condición de diputado no adscrito y su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la condición de diputado no adscrito vulnere per se el art. 23.2 CE y centrado el debate procesal en las concretas posibilidades de actuación e intervención que la mesa asocia a dicha situación jurídica, procede enjuiciar aquellos aspectos de la impugnación del recurrente que, en su opinión, suponen una merma en sus facultades de participar como diputado en las actividades legislativas y de controlar la acción del gobierno, y que por consiguiente pueden eventualmente afectar de un modo inconstitucional al núcleo de la función del representante político garantizada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detrimento en la esencia del estatus de representante del diputado se manifiesta, según la demanda de amparo, en dos órdenes de materias, que son las iniciativas parlamentarias que puede promover y el uso de la palabra en los debates plenarios. No cabe duda que “la posibilidad de intervenir en los debates parlamentarios está directamente relacionada con el núcleo de la función representativa, como instrumento de deliberación, expresión de las propias posturas y control del Gobierno” (STC 141/2007, de 17 de junio, FJ 4), como lo está igualmente, por las mismas razones, la facultad de promover iniciativas parlamentarias de impulso político y control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de esas materias, el recurrente considera lesivo del art. 23.2 CE que la mesa limitase las iniciativas parlamentarias del demandante de dos maneras. De una parte, cuando el acuerdo MA242/A1/18-IX le permite, ante el pleno, una sola interpelación y una sola pregunta a los consejeros por cada periodo de sesiones y, ante comisión, una sola pregunta oral a consejeros y altos cargos del Gobierno regional también por cada periodo de sesiones. De otra parte, cuando el acuerdo MA246/A14/18-IX, aclarando el sentido del acuerdo anteriormente citado, prevé en su apartado 11/12 que el demandante tiene completamente vedadas las propuestas de impulso (art. 209 y ss. del Reglamento parlamentario) y las de pronunciamiento en pleno (art. 217 y ss.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atiende a la segunda de las materias referidas, el demandante alega que se desconocen sus derechos ex art. 23.2 CE en la medida que el acuerdo MA246/A14/18-IX le excluye enteramente del uso de la palabra en los debates de totalidad (apartado 2), en los de convalidación de decretos leyes (apartado 10) y, en último término, en aquellos a que dan lugar las propuestas de impulso y las de pronunciamiento en pleno (apartado 11/12).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facultades de actuación e intervención fueron acordadas por la mesa de la asamblea autonómica en ejercicio de la función que le confía el último inciso del art. 39.6 del Reglamento de la Asamblea de Extremadura cuando dispone que “[c]orresponde, asimismo, a la mesa, oída la junta de portavoces, resolver cuantas cuestiones pudieran plantearse en relación con la situación y posibilidades de actuación de los diputados no adscritos en el marco del presente Reglamento”. Ahora bien, a la mesa no le incumbe ejercer esta facultad sin ninguna sujeción normativa, sino que se encuentra vinculada por aquellos principios y reglas que, para cubrir la reserva legal que se proyecta sobre la regulación del derecho fundamental a la participación política (art. 23.2 CE), contempla el reglamento de la asamblea autonómica (por todas, STC 119/1990, de 21 de junio. FJ 4, y 141/2007,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prevé de un modo explícito el propio art. 39.6 del Reglamento al establecer que la mesa resolverá acerca del estatus del diputado no adscrito “en el marco del presente Reglamento”. Entre estas disposiciones reglamentarias destaca de un modo principal el primer inciso del art. 39.5 del citado Reglamento que prevé que “los diputados no adscritos gozarán solo de los derechos reconocidos reglamentariamente a los diputados considerados de forma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dos acuerdos de la mesa que estamos considerando reflejan en su argumentación esta vinculación al mandato normativo contenido en el art. 39.5 del Reglamento de la Asamblea. Por lo que hace a las iniciativas parlamentarias, el apartado 2 del acuerdo-MA242/A1/18-IX resuelve que “el diputado no adscrito podrá presentar [aquellas] para las que ostentan legitimación los diputados considerados de forma individual”. Y el acuerdo MA246/A14/18-IX, en coherencia con el motivo reseñado en el acuerdo anterior, afirma en el apartado 11/12 que “tanto las propuestas de impulso como de pronunciamiento son iniciativas de grupo parlamentario”, lo que implica que para ellas no ostentan legitimación los diputados considerados de forma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uso de la palabra en los debates plenarios, el acuerdo MA246/A14/18-IX apoya la privación absoluta de intervención del diputado no adscrito en los debates de totalidad (apartado 2), en los de convalidación de decretos leyes (apartado 10) y en aquellos a que dan lugar las propuestas de impulso y las de pronunciamiento en pleno (apartado 11/12) en que la normativa respectiva “regula únicamente turnos de grupos parlamentarios”, no permitiendo, en consecuencia, la participación de los diputados considerados de forma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compatibilidad del art. 39.5 del Reglamento de la Asamblea de Extremadura con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las facultades de actuación e intervención del ius in officium que se impugnan en este recurso se apoyan, como no podía ser de otro modo debido a la reserva legal que protege el estatus de representante, en un precepto del reglamento parlamentario (art. 39.5), resulta necesario examinar si esa disposición, al ceñir las facultades que gozan los diputados no adscritos a “los derechos reconocidos reglamentariamente a los diputados considerados de forma individual”, deviene incompatible con el núcleo de la función representativa que el art. 23 CE, en su doble vertiente, garantiza al diputado autonómico incluso frente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negativa a esta cuestión viene dada por la aplicación de una reiterada doctrina jurisprudencial constitucional (por todas, SSTC 32/1985, 169/2009 y 20/2011). Según el criterio en ella establecido, la igualdad en el estatus de representante político no solo proscribe aquellas normas que excluyen singularmente a un diputado del ejercicio de ciertas facultades inherentes al núcleo de su función representativa. También se opone a aquellas otras disposiciones que permitan que un diputado, instrumentando ciertos mecanismos de funcionamiento del órgano representativo para una finalidad que no es la suya propia, alcance o pretenda alcanzar un haz de facultades en el ejercicio de la función representativa que le confiera una posición preponderante respecto de los demás diputados de la cámara individualmente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resaltó esta última dimensión del contenido normativo del art. 23.2 CE en la STC 32/1985, de 6 de marzo, FJ 2, donde declaró que “la composición no proporcional de las comisiones informativas resulta constitucionalmente inaceptable porque estas son órganos solo en sentido impropio y en realidad meras divisiones internas del pleno”, de tal manera que, en “cuanto partes del pleno deben reproducir, en cuanto sea posible, la estructura política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 ha vuelto a referir a ella, esta vez de un modo más elocuente, la STC 20/2011, de 14 de marzo, FJ 6, donde se lee que el art. 23 CE se opone 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Más adelante en la misma STC 20/2011 se insiste en que “esta exigencia [de proporcionalidad del voto en comisión] despliega sus efectos tanto para garantizar los derechos de participación política de las minorías […] como en el sentido opuesto, es decir, para evitar la materialización del riesgo de sobrerrepresentación de la minoría que se deriva del derecho de participación directa en las comisiones informativas que corresponde a los miembros no adscritos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criterio hermenéutico ex art. 23 CE ha conducido al Tribunal igualmente a considerar constitucionales los reglamentos de ciertas asambleas legislativas que imponían diferencias en la participación política de los diputados según el grupo parlamentario al que pertenecieran. Téngase en cuenta a este efecto la STC 141/2007, de 18 de junio, FJ 4, que, recogiendo otras anteriores, declara “la legitimidad constitucional de las cláusulas reglamentarias que supeditan la participación de los grupos en las comisiones parlamentarias a lo que resulte del reparto de los puestos disponibles en ellas de manera proporcional a la importancia numérica de cada grupo (SSTC 214/1990, de 20 de diciembre, FJ 6; 93/1998, de 4 de mayo, FJ 3) concluyendo que las cámaras pueden regular la manera en que dicha participación se produce, especialmente modulando su duración en razón del número de parlamentarios que integran cada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dimensión que venimos considerando del contenido normativo del art. 23 CE, no es constitucionalmente ilegítimo el trato diferente entre representantes políticos cuando se orienta a impedir una posición preponderante de unos sobre otros, lo que avala la constitucionalidad del art. 39.5 del Reglamento de la Asamblea de Extremadura. En efecto, esta cláusula reglamentaria asegura al diputado no adscrito los derechos inherentes a la condición de cargo público que son “reconocidos reglamentariamente a los diputados considerados de forma individual”, pero al mismo tiempo le impide que, beneficiándose de su situación de diputado individual y no inserto en ningún grupo político, por haber abandonado el grupo parlamentario del que formaba parte, pase a gozar de una injustificada posición preponderante en perjuicio del resto de diputados que, por integrarse en grupos políticos, ven racionalizado el ejercicio de ciertas funciones inherentes al núcleo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 la medida que se trata de una disposición reglamentaria que cierra el paso a una excesiva representación del diputado no adscrito, es plenamente compatible con las exigencias constitucionales derivadas del art. 23 CE, no siendo en si misma considerada inconstitucional. Otra cosa será la aplicación que la mesa haga de ella, que deberá tener presente el mencionado principio constitucional que la justifica, aplicación de la mesa que se analiza en los siguientes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aplicación del art. 39.5 del Reglamento de la Asamblea de Extremadura en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en los acuerdos impugnados, ha llevado a cabo una aplicación del art. 39.5 del Reglamento parlamentario como norma que prevé un haz de derechos que corresponden al diputado no adscrito que se justifica en evitar que su situación le confiera una posición de preponderancia, lo que le exige valorar las circunstancias concretas de cada caso para contrarrestar tal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iniciativas parlamentarias, el apartado 2 del acuerdo-MA242/A1/18-IX, después de afirmar que el diputado no adscrito podrá presentar aquellas “para las que ostentan legitimación los diputados considerados de forma individual”, reduce estas a las interpelaciones y preguntas orales a los miembros del Gobierno, y además aplica un criterio de proporcionalidad previamente establecido en sesión de 31 de agosto de 2015 con el fin de acotar el número de tales iniciativas parlamentarias que se permiten al diputado no adscrito a un cupo que impida su sobrerrepresentación.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uso de la palabra en los debates plenarios, la mesa en el apartado 3 del acuerdo MA242/A1/18-IX habilitó al diputado no adscrito para “intervenir en los debates de especial relevancia” y, aclarando el sentido de esta expresión, en el apartado 1 del acuerdo MA246/A14/18-IX estableció que el recurrente podrá intervenir en los debates plenarios (a) sobre la ley de presupuestos, (b) sobre la orientación política general de la Junta de Extremadura, (c) en los debates monográficos, y (d) en los que se sustancie una moción de censura o una cuestión de confianza. Se trata de debates plenarios específicos cuyo desarrollo se regula, respectivamente, en los artículos 187, 194, 197, 237 y 241 del Reglamento de la Asamblea. A pesar de que todos estos preceptos reglamentarios prevén exclusivamente la intervención de los grupos parlamentarios, los acuerdos impugnados contemplan la intervención del diputado no adscrito “después de los turnos reservados a los grupos parlamentarios, con un turno de explicación de voto”. La mesa, de este modo, valora que admitir la participación del diputado no adscrito en todos los debates plenarios conllevaría una injustificada sobrerrepresentación en relación al resto de diputados, los cuales no intervienen en ellos sino a través de los representantes de sus grupos políticos. Pero al mismo tiempo aprecia que ese efecto de exceso de representación no sucedería, en el criterio de la mesa, si se ciñen sus intervenciones a los cuatro tipos de debates plenarios indicados en el acuerdo MA246/A14/18-IX y a la forma prevista en el previo acuerdo MA242/A1/18-IX.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Enjuiciamiento de las concretas quejas formuladas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precisado que el art. 39.5 del Reglamento de la Asamblea de Extremadura es plenamente constitucional porque neutraliza la desigualdad en el ejercicio de la función representativa que llevaría aparejada la sobrerrepresentación del diputado no adscrito, y comprobado que la mesa dispone de un limitado margen en la aplicación de este criterio normativo a cada caso, procede enjuiciar cómo ha ejercido dicha mesa tal facultad en los aspectos de los acuerdos impugnados de los que se queja el recurrente en su demanda, y ello con el propósito de que este Tribunal pueda verificar si lo ha hecho de un modo conforme con la naturaleza del concepto de cargo público representativo que incorpora el art. 23.2 CE y, en su virtud, resolver si cabe otorgar el amparo solicitado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tarea de verificación, que tiene por finalidad la tutela de los derechos fundamentales que consagra el art. 23 CE, el Tribunal debe tomar en cuenta la especial relevancia de la autonomía parlamentaria y, como consecuencia de ello, la facultad que la Constitución reserva a las cámaras de establecer, interpretar y aplicar las normas que rigen su organización y funcionamiento, pues la ordenación reglamentaria goza de amplia libertad de configuración, siempre que se respete el derecho de los parlamentarios con la representación política, como subraya la STC 139/2017, de 29 de noviembre, en los FFJJ 3 a), 4 b) y 5 y también hemos declarado en la STC 141/2007, de 18 de junio, FJ 4, sobre la reducción del tiempo de intervención en debates debido a la supresión de un grupo parlamentario que “en esta materia nuestra jurisdicción solo puede extenderse de manera excepcional y de conformidad con el principio de mínima intervención, para la estricta garantía de los derechos fundamentales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sistematizar el examen de las distintas posibilidades de actuación e intervención impuestas al demandante por los acuerdos impugnados, resulta conveniente distinguir tres supuestos: a) el cupo señalado para las interpelaciones y las preguntas al Gobierno tanto en pleno como en comisión; b) la exclusión absoluta de ciertas iniciativas parlamentarias, concretamente de las propuestas de impulso y las de pronunciamiento en pleno, y, en fin, c) la privación del uso de la palabra en algunos debates plenarios.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al cupo que se señala al diputado no adscrito para las interpelaciones y las preguntas al Gobierno tanto en pleno como en comisión, la demanda de amparo se limita a reproducir el apartado 2 del acuerdo MA242/A1/18-IX y, a continuación, como toda alegación en apoyo de su queja, a afirmar que “como puede colegirse de la simple lectura del acuerdo transcrito, se están cercenando gravemente sus derechos como diputado, en aspectos tan nucleares de la función parlamentaria como es el control al Gobierno, que se reduce, ante el pleno, a la posibilidad de presentar una única interpelación y una pregunta oral por período de sesiones, esto es, dos iniciativas de cada tipo al año, ocho en el conjunto de la legislatura. Más rechazable aún considera la limitación de una sola pregunta oral ante la comisión por periodo de sesiones, lo que a su juicio supone una clara manifestación de la voluntad de restringir su función de control al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relevante atender al contexto de la impugnación. La mesa en el apartado 2 del acuerdo MA242/A1/18-IX aporta una razón específica de por qué opta por este cupo —ese era el criterio de proporcionalidad acordado en la sesión de 31 de agosto de 2015— mientras que la demanda de amparo, como se comprueba a partir del extracto transcrito, no argumenta nada preciso en defensa de su mera alegación. No aduce ningún motivo por el que ese cupo sea desproporcionado o sea de alguna manera inferior al que corresponde a los diputados individualmente considerados, ni mucho menos formula una crítica de los parámetros acogidos en la sesión de 31 de agosto de 2015. Dado que estos son los contornos de esta invocación, el Tribunal considera aplicable su reiterada doctrina (por todas, STC 96/2015, de 25 de mayo, FJ2) según la que no corresponde al Tribunal “reconstruir de oficio las demandas, supliendo las razones que las partes no hayan expuesto, por ser carga procesal de quien pide amparo constitucional no solamente abrir la vía para que podamos pronunciarnos, sino también proporcionar la fundamentación fáctica y jurídica que razonablemente es de esperar y que se integra en el deber de colaborar con la justicia del Tribunal Constitucional”. Este criterio conduce en este estadio del proceso a la desestimación de esta primera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Resolver acerca de la segunda queja requiere examinar con detalle la regulación reglamentaria de estos dos tipos de iniciativa parlamentaria. El art. 209 del Reglamento dispone que “[l]a propuesta de impulso ante el pleno deberá ser presentada […] por un grupo parlamentario con la firma de su portavoz o por un diputado con el visto bueno del portavoz de su grupo”. Y el art. 217 del mismo Reglamento prevé que “son propuestas de pronunciamiento de la cámara las iniciativas que pueden presentar los grupos parlamentarios, a través de sus portavoces, o los diputados sobre temas que afecten a los intereses de la comunidad autónoma y que tengan por objeto impulsar la actuación de cualquier institución distinta a la Junta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circunstancia a tener en cuenta es que el apartado 11/12 del acuerdo MA246/A14/18-IX excluye por completo al recurrente de estas iniciativas parlamentarias con el siguiente razonamiento: “tanto las propuestas de impulso como de pronunciamiento en pleno, son iniciativas de grupo parlamentario, dado que, en el caso de presentarse por un diputado, requieren la firma del portavoz del grupo (art. 209 del Reglamento), fijándose el cupo en atención al número de diputados que lo integran”. El sentido de este texto se comprende en conexión con el apartado 2 del acuerdo MA242/A1/18-IX (“El diputado no adscrito podrá presentar las iniciativas parlamentarias para las que ostentan legitimación los diputados considerados de forma individual”), del que es aclaración a solicitud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apreciación de este Tribunal, a partir de estos dos elementos de juicio, es que el art. 217 del Reglamento antes transcrito reconoce a los diputados considerados individualmente la capacidad abstracta de formular propuestas de pronunciamiento en pleno. El apartado 11/12 del acuerdo MA246/A14/18-IX, al decir que estas propuestas “son iniciativas de grupo parlamentario”, desconoce frontalmente este contenido normativo del art. 217 del mencionado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mesa, en la medida que en los acuerdos impugnados niega que el recurrente pueda presentar propuestas de pronunciamiento en pleno, le está privando de facultades que, además de ser inherentes a la función representativa, aparecen reconocidas en el reglamento parlamentario a los diputados considerados en forma individual y, por tanto, atribuidas al diputado no adscrito por el art. 39.5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constatación de este Tribunal parte de que el art. 209 del Reglamento de la Asamblea de Extremadura, cuando permite a los diputados presentar propuestas de impulso, exige que lo hagan “con el visto bueno del portavoz de su grupo”. En la STC 57/2011, de 3 de mayo, en la que se examinaba la denegación por la mesa del Congreso de los Diputados de una iniciativa presentada por un diputado sin la firma del portavoz del grupo parlamentario, cuando esta firma se requería como medio de garantizar el previo conocimiento por parte del grupo parlamentario, este Tribunal declaró “que se trata de una manifestación del ejercicio del derecho del parlamentario” (FJ 4) y que “forma parte del ius in officium de cada uno de los diputados” (FJ 5), argumentando como fundamento de este criterio que “tal exigencia [de firma del portavoz del grupo parlamentario] no se articula como un requisito material sino como un trámite formal o de procedimiento […]. En consecuencia, la capacidad de iniciativa y la decisión final sobre su presentación no pertenece al grupo parlamentario sino que se atribuye y en todo momento permanece en el dominio del diputado, que es a quien se reconoce individualmente el derecho; esto es, un específico título para el desempeño de su cargo representativo a través de esa facultad, cuya concreción depende únicamente, en principio, de su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distinta función que juegan la firma del portavoz del grupo parlamentario, en el asunto decidido por la STC 57/2011, y el “visto bueno del portavoz del grupo” en las propuestas de impulso que aquí enjuiciamos determinan que el Tribunal resuelva en este caso en un sentido diferente. En aquel supuesto, la norma reglamentaria solo avala el previo conocimiento por parte del grupo parlamentario, asegurándose el mismo por medio de la constancia de la firma del portavoz en la iniciativa parlamentaria del diputado. En este supuesto, por el contrario, incumbe al grupo parlamentario otorgar una suerte de conformidad a la iniciativa del diputado, actuando el “visto bueno del portavoz del grupo” como cauce de expresión de esa conformidad. Por esta razón —la exigencia de conformidad del grupo parlamentario— es por lo que el “visto bueno del portavoz” no es un mero requisito formal, sino una previsión sustantiva, en virtud de la que se sustrae este tipo de iniciativa del acervo de actuaciones parlamentarias que se reconocen reglamentariamente al diputado considerado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concluye que, de acuerdo a esta distinta calificación, el acuerdo de la mesa de denegar al diputado no adscrito la posibilidad de formular propuestas de impulso no contradice lo dispuesto en el art. 209 en relación al art. 39.5 del Reglamento de la Asamblea. Por otro lado, y teniendo presente que el diputado no adscrito tiene a su disposición otros medios de control al Gobierno (interpelaciones, preguntas, etc.), la privación de este tipo de iniciativas no le coloca automáticamente en una situación de desigualdad desproporcionada respecto del resto de diputados, no pudiendo este Tribunal hacer en este caso una ponderación más incisiva porque falta en el escrito rector de este proceso una argumentación concreta en este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Resta por analizar la queja referida a la privación del uso de la palabra en algunos debates plenarios. De la lectura combinada del apartado 3 del acuerdo MA242/A1/18-IX y el apartado 1 del acuerdo MA246/A14/18-IX se desprende que la mesa determinó que el recurrente podría intervenir en cuatro clases de debates plenarios, habilitando para él un turno de explicación de voto. La mesa añade, aunque con ello no hace sino reiterar lo que derivaba implícitamente de la anterior previsión, que el recurrente no podría intervenir en otras tres clases de debates (los de totalidad, de convalidación de decretos leyes y relativos a las propuestas de impulso y las de pronunciamiento en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al admitir que el diputado no adscrito recurrente intervenga solo en algunos debates plenarios y señalar la manera en que podrá hacerlo, excluyéndole por tanto del resto de debates plenarios (incluidos los tres tipos a que alude expresamente), está aplicando al caso concreto la regla de proscripción de la sobrerrepresentación contenida en el art. 39.5 del Reglamento. La jurisdicción de este Tribunal podría, “de manera excepcional y […] para la estricta garantía de los derechos fundamentales de los parlamentarios” (STC 141/2007), revisar la específica ponderación de la sobrerrepresentación que subyace en la aplicación del art. 39.5 del citado Reglamento que hacen estos dos acuerdos de la mesa. Pero solo puede hacerlo, en esta vía de amparo, si el recurrente cumple con su deber de colaborar con la justicia constitucional mediante una argumentación fundada de la lesión que invoca. Resulta imprescindible que el recurrente motive, con referencia a las circunstancias del caso concreto, que restringir su facultad de uso de la palabra a esos cuatro tipos de debates plenarios le coloca en una situación de infrarrepresentación respecto del resto de diputados, los cuales, debe recordarse, no tienen el derecho de intervenir en los debates plenarios sino a través de los portavoces de sus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de amparo expone por todo argumento que “como consecuencia de la adjudicación a mi representado de la condición de diputado ‘no adscrito’, sin poder incorporarse a ningún grupo parlamentario, se ven vulnerados y limitados sus derechos en el correcto ejercicio de la función parlamentaria al impedírsele intervenir en los debates de totalidad, regulados en el artículo 163 del Reglamento de la Asamblea de Extremadura, y en los debates de los Decretos Leyes que vayan a aprobarse en ambos casos con el objeto de explicar el voto, para el que sí tiene reconocido derecho, así como intervenir en los debates de iniciativas del artículo 215 del mismo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hace otra cosa que alegar simple y llanamente que la privación de intervenir en los tres tipos de debates de los que resulta excluido expresamente supone una vulneración de sus derechos de participación política, pero no hace una valoración de conjunto que tenga en cuenta que se le concede el uso de la palabra en otros cuatro tipos de debates plenarios y que el resto de diputados no tienen el derecho de participar en los debates plenarios sino a través de los portavoces de sus grupos parlamentarios, ni argumenta porqué el acuerdo de la mesa relativo a las intervenciones en los debates resulta desproporcionado y contrario a la igualdad en el ejercicio del núcleo de la función representativa. En fin, no consta en el escrito rector de este proceso un razonamiento que argumentase, teniendo en cuenta todas estas circunstancias de contexto, que la privación del uso de la palabra en esos tres tipos de debates plenarios la somete a una posición de infrarrepresentación respecto del resto de diputados, por lo que, de acuerdo a la mencionada doctrina constitucional según la que no ha lugar a que este Tribunal reconstruya de oficio las demandas de amparo (por todas, STC 96/2015), esta tercera y última queja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que la demanda de amparo debe ser estimada parcialmente al apreciarse vulneración del derecho garantizado por el art. 23.2 CE, en relación con el art. 23.1 CE, del que era titular el diputado recurrente, por el apartado 2 del acuerdo MA242/A1/18-IX y por el apartado 11/12 del acuerdo MA246/A14/18-IX, en la medida que privan en términos absolutos al demandante del derecho a formular propuestas de pronunciamiento en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desestimar las restantes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del amparo se circunscribe al reconocimiento del derecho y a la declaración de nulidad de los acuerdos anteriores en el extremo reseñado, así como del acuerdo MA254/A5/18-IX en cuanto confirmó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adoptar medida alguna destinada al pleno restablecimiento del derecho vulnerado toda vez que los acuerdos lesivos fueron aprobados en una legislatura ya finalizada (por todas, STC 212/2016, de 15 de diciembre, FJ 7), por lo que, en este caso la estimación parcial tiene un efecto meramente declarativo.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Juan Antonio Morales Álvarez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por el apartado 2 del acuerdo MA242/A1/18-IX y por el apartado 11/12 del acuerdo MA246/A14/18-IX, en la medida que privan en términos absolutos al demandante del derecho a formular propuestas de pronunciamiento en pleno, así como el acuerdo MA254/A5/18-IX en cuanto confirmó los precedentes acuerdos.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acuerdos anteriores en el extremo indicado.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No procede adoptar medida de restablecimiento del derecho vulnerado, pues los acuerdos fueron aprobados en una legislatura ya finalizada.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el recurso de amparo 5336-2018, avocado al Pleno y resuelto por la sentencia de fecha 12 de diciembre de 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muy sinceramente, verme obligado a expresar mi discrepancia respecto a mis compañeros, al tratarse de una sentencia muy trabajada y bien planteada. Desgraciadamente detecto lo que considero un error aislado, pero cuya repercusión en el fallo lo convierte en decisivo, al implicar una estimación parcial del recurso, que no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Las peripecias relacionadas con el transfuguismo político han atraído ya la atención de este Tribunal en ocasiones anteriores, sentando una doctrina que concede lógica preferencia a la representatividad democrática de los parlamentarios respecto a su condición de candidato de un partido; todo ello pese a que el juego predominante de las listas cerradas y bloqueadas pueda provocar algún desconcierto entre los ciudadanos ante dichas resoluciones. Baste recordar, entre otras, las SSTC 5/1983, de 4 de febrero, y 10/1983, de 21 de febrero; ambas con voto particular de dos y tres magistrados discrepantes respectivamente.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la STC 44/1995, de 13 de febrero, analizó un intento de resolver el problema, que permitía al tránsfuga incluirse en el grupo Mixto, pero reduciendo sus posibilidades de intervención respecto al resto de su nuevo grupo, lo que se consideró vulnerador de su derecho a participar (art. 23.2 CE) en su oficio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Igualmente resulta frecuente que cuando un parlamentario abandona su grupo parlamentario y, como ocurre en este caso, se convierte en diputado no adscrito¸ suscite una peculiar sensibilidad que lleva a contemplar como represalia la aparente reducción de su actividad. La experiencia parlamentaria invita sin embargo a pensar lo contrario. En efecto, el desmarque de su grupo del diputado no adscrito provoca desigualdad, pero —a mi modo de ver— más bien en sentido contrario. Ciertamente queda al margen de los grupos, incluido el llamado grupo Mixto, y ajeno por tanto a las ventajas económicas y de personal de apoyo propias del caso. Esto no implica, sin embargo, que su presencia en la cámara no pueda acabar siendo mayor que la de más de un diputado integrado en algún grupo, sobre todo si este es nutrido. Lo que no tendría mucho sentido es convertir al voluntariamente no adscrito en un exótico minigrupo individual.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Suele esfumarse la realidad de que, dado un funcionamiento asambleario que gira decisivamente en torno al papel de los grupos, a la hora de distribuir por cupos las posibles intervenciones de cada cual, el diputado no adscrito puede acabar teniendo una participación prácticamente idéntica a la de tantos miembros de los grupos parlamentarios que, al no asumir la condición de portavoces en pleno o comisión, acaban limitándose a pulsar un botón en el pleno y a alzar el brazo en alguna comisión. Me temo que esto es lo que puede haber ocurrido en este caso, generando esa estimación parcial del recurso que, a mi modo de ver, no tiene fundamento.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desgrana, como es obligado, las diversas presuntas desigualdades de trato impugnadas por el recurrente y las va rechazando de modo convincente. A mi juicio, no ocurre así cuando aborda las propuestas de pronunciamiento, claramente —como veremos— más vinculadas a la actividad de los grupos a que a la de cualquier diputado individualmente. De dichas propuestas se ocupa el artículo 217 del Reglamento de la Asamblea de Extremadura en los siguientes términos: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propuestas de pronunciamiento de la cámara las iniciativas que pueden presentar los grupos parlamentarios, a través de sus portavoces, o los diputados sobre temas que afecten a los intereses de la comunidad autónoma y que tengan por objeto impulsar la actuación de cualquier institución distinta a la Junta de Extremadura”.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Arranca de aquí una cadena de remisiones a otros artículos, que puede haber dificultado la correcta comprensión del caso sometido a análisis.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para la “presentación, calificación y tramitación” de estas propuestas de pronunciamiento, se nos remite al artículo 218, que las regula equiparándolas a las propuestas de impulso: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su presentación, calificación, tramitación y debate se estará a lo previsto para las propuestas de impulso, a excepción de los cupos, que serán de un máximo de siete iniciativas por grupo parlamentario y periodo de sesiones. La Junta de Portavoces podrá incluir hasta un máximo de dos propuestas de pronunciamiento por sesión plenaria atendiendo a las peticiones motivadas de los grupos y a la importancia del tema a tratar”.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aludida posible querencia hacia una igualdad que descarte toda discriminación para el diputado monoplaza, nos llevaría a admitir que pueda en solitario disfrutar por esta vía de hasta siete iniciativas por cada periodo de sesiones; solución que acaba asumiendo la sentencia provocando mi discrepancia. Entrará en juego un tercer artículo —el 209— que me lleva a descartar la solución asumida, dados los términos en que presenta a las aludidas propuestas de impulso, a propósito de su “presentación ante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propuesta de impulso ante el pleno deberá ser presentada en escrito dirigido al presidente de la cámara, en el que conste la justificación que la motiva y los aspectos concretos sobre los que se pretende instar la acción del Gobierno, por un grupo parlamentario con la firma de su portavoz o por un diputado con el visto bueno del portavoz de su grupo, salvo que se trate del grupo Mixto, en cuyo caso se estará a su regulación específica”.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Tendrá pues que hacer el diputado no adscrito tan poco por la vía de estas propuestas de impulso como por las propuestas de pronunciamiento a ellas —como vimos— equiparadas. A diferencia de lo contemplado en las SSTC 20/2011, de 14 de marzo, o 246/2012, de 20 de diciembre, que consideran vulneradora del art. 23 CE la privación a los concejales no adscritos del derecho a votar en las comisiones informativas, el diputado impugnante podrá participar en pleno y comisión por la vía ordinaria, no solo mediante el voto sino también mediante preguntas escritas o, en su caso, orales en las que el filtro de los grupos no resulte determinante. En todo caso, al bienintencionado afán de favorecer su juego, recurriendo —como hace la sentencia— a entender vulnerado su ius in officium al no poder disfrutar de las propuestas de pronunciamiento no le veo mucho sentido, al tratarse de una de las iniciativas menos individuales disponibles.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Hay un segundo aspecto menor, que me habría invitado, si acaso, a expresar un mero voto concurrente. Se plantean a lo largo de la sentencia repetidamente invocaciones a la proporcionalidad. Resulta dudoso el juego de dicho canon hermenéutico en este caso. Buena prueba de ello es que a la postre no llega a aplicarse en la sentencia ningún juicio de proporcionalidad con los tres criterios que obligadamente le acompañan: idoneidad, necesidad y proporcionalidad en sentido estricto.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me lleva a descartar la vulneración apreciada por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doce de diciembre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