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3640-2019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3640-2019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parcialmente la solicitud de suspensión, decretando la suspensión de la ejecución de la sentencia núm. 236/2019, de 23 de abril, dictada por la Sala de lo Civil del Tribunal Supremo en el recurso de casación núm. 4345-2017, formulado contra la dictada por la Sección Duodécima de la Audiencia Provincial de Madrid, en recurso de apelación núm. 184-2017, en lo que se refiere exclusivamente a la publicación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11 de junio de 2019, don Antonio Javier Rodríguez Naranjo interpuso recurso de amparo contra la sentencia núm. 236/2019 de la Sala de lo Civil del Tribunal Supremo, de fecha 23 de abril de 2019, que resuelve el recurso de casación y extraordinario por infracción procesal núm. 4345-2017, interpuesto contra la sentencia dictada el 30 de junio de 2017 por la Sección Duodécima de la Audiencia Provincial de Madrid en el recurso de apelación núm. 184-2017, dimanante de las actuaciones de juicio ordinario núm. 654-2014, del Juzgado de Primera Instancia núm. 1 de Pozuelo de Alarcón, sobre tutela civil del derecho fundamental al honor.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alega la vulneración del derecho a la libertad de expresión [art. 20.1 a) CE], por cuanto no se ha realizado una adecuada ponderación de los derechos fundamentales concernidos desde un punto de vista constitucional, el derecho a la libertad de expresión y el derecho al honor.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demanda se solicita por otrosí la suspensión de la ejecución de la sentencia recurrida, donde se le condena al pago de una indemnización cifrada en 5 000 €, a la publicación íntegra de la sentencia en un medio digital y al pago de las costas. Alega que dicha ejecución haría perder su finalidad al amparo interesado, pues, al encontrarse entre los pronunciamientos contenidos en la sentencia impugnada la referida publicación íntegra, de cumplirse la condena, le causaría un perjuicio irreparable en su credibilidad. Además, la suspensión de la ejecución no irrogaría perjuicio alguno ni para los intereses generales ni en la esfera de los derechos o libertades de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10 de febrero de 2020, la Sección Segunda de este tribunal acordó admitir a trámite el recurso de amparo y, a su vez, dirigir comunicación al Juzgado de Primera Instancia e Instrucción núm. 1 de Pozuelo de Alarcón, a fin de que, en el plazo de diez días, remitiera certificación o fotocopia adverada de las actuaciones correspondientes al procedimiento ordinario núm. 654-2014, y se emplazara a quienes hubieran sido parte en el proceso del que trae causa el presente recurso de amparo, excepto a la parte recurrente en amparo, para que pudieran comparecer, si lo desean, en el presente procedimiento. Asimismo, ordenó la formación de pieza separada para la sustanciación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febrero de 2020, la referida sección acordó formar, con el testimonio del recurso de amparo, la pieza separada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17 de febrero de 2020, la parte recurrente presentó alegaciones, ampliando las expuestas en la demanda de amparo respecto de la solicitud de suspensión, al atender a los diversos pronunciamientos de condena contenidos en la sentencia impugnada. Así, en relación con la publicación de la sentencia en un medio de comunicación, se aduce que produciría un perjuicio irreparable, real, concreto e irreversible; mientras que, acerca de la suspensión del abono de la indemnización establecida se afirma que el demandante ya se ha resarcido de los anticipos económicos que ha realizado, pues se han abonado los gastos ocasionados con motivo de la asistencia letrada y la representación procesal, añadiendo que la suspensión del pago de la indemnización no supone ningún perjuicio a tercero, ni perturbación de ningún derecho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25 de febrero de 2020, presentó alegaciones interesando la suspensión parcial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diferencia entre los dos pronunciamientos de condena contenidos en la sentencia, el relativo a la indemnización y el atinente a la publicación de la resolución. En relación con el primer aspecto, al tener un contenido “estrictamente económico”, entiende la fiscalía que no debe dar lugar a su suspensión, ya que, de otorgarse el amparo, su cumplimiento sería subsanable “con la mera reversión de la cantidad que hubiere satisfecho previamente”. En cuanto a la publicación, sostiene que debería acordarse la suspensión en tanto se tramita el presente recurso de amparo “para salvaguardar su real efectividad en caso de que se otorgara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 medida provisional de suspensión de la sentencia recurrida. Considera el demandante de amparo que su ejecución le causaría, en lo que respecta a la publicación de la resolución, un perjuicio irreparable, real, concreto e irreversible si se estimara el recurso de amparo, por cuanto supondría de pérdida de credibilidad; mientras que en relación con el pago de la indemnización, aduce que su suspensión no comportaría perjuicio alguno a tercero ni perturbación de ningún derecho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que, 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(ATC 125/2019, de 28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relación a los perjuicios de carácter patrimonial o económico se ha señalado que, por más que puedan producir efectos desfavorables a quien demanda en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11 de abril, FJ 2)” (ATC 117/2018, de 29 de octubre, FJ 2; en el mismo sentido AATC 21/2018, de 5 de marzo, FJ 2, y 66/2008, de 25 de febrero,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de suspensión del acto o resolución judicial recurridos que alegue, pruebe o justifique, ofreciendo un principio razonable de prueba, la irreparabilidad o la dificultad de la reparación de los perjuicios que derivarían de seguirse la ejecución del acto impugnado, ya que la ejecución del acto recurrido puede privar a la demanda de amparo de su finalidad, provocando que el restablecimiento del recurrente en el derecho constitucional vulnerado sea tardío y convirtiendo en meramente ilusorio y nominal el amparo (ATC 87/2019, de 15 de julio,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este tribunal comparte la opinión del fiscal sobre la necesidad de diferenciar el tratamiento que merece cada uno de los pronunciamientos contendidos en la resolución que se pretende ejecutar.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vertiente de contenido estrictamente económico, la ejecución de la resolución judicial supone abonar la cantidad de 5 000 € en concepto de indemnización. El recurrente alega que su suspensión no comporta perjuicio alguno a tercero ni perturbación de algún derecho constitucionalmente protegido. Sin embargo, no acredita la irreparabilidad o la dificultad de la reparación de los perjuicios que derivarían de seguirse la ejecución del acto impugnado, como se viene exigiendo por este tribunal. En tales circunstancias y dada la facilidad para subsanar esta actuación mediante la devolución de la cantidad satisfecha si finalmente se estima este recurso de amparo, no procede acordar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valoración diversa ha de tener la publicación íntegra de la sentencia en un medio digital, supuesto de hecho en el que, normalmente, se concede la suspensión a la vista de las dificultades de reparar los daños que pudiera causar, particularmente, por la pérdida de credibilidad del afectado, como alega el demandante de amparo. Este tribunal, entre otras resoluciones, en el muy reciente ATC 73/2019, de 15 de julio, ha vuelto a declarar que es “criterio constante y consolidado, la suspensión de la publicación en un medio de comunicación de una rectificación o del encabezamiento y fallo de una sentencia (ATC 123/1996, de 20 de mayo)” (FJ 2). En tal sentido, entendemos que tal publicación puede ocasionar un perjuicio en la credibilidad del medio o del profesional afectado que haga perder al amparo su finalidad, caso de ser otorgado (AATC 98/1983, 179/1984, 574/1985, 116/1990, 239/1990, 25/1991, 237/1994, 327/1994, 10/1995, 165/1995, 123/1996, 135/1996 y 84/1997). Por consiguiente, procede acordar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de conformidad con la doctrina expuesta, y sin prejuzgar la decisión de fondo del recurso, conducen a conceder en parte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parcialmente la solicitud de suspensión, decretando la suspensión de la ejecución de la sentencia núm. 236/2019, de 23 de abril, dictada por la Sala de lo Civil del Tribunal Supremo en el recurso de casación núm. 4345-2017, formulado contra la dictada por la Sección Duodécima de la Audiencia Provincial de Madrid, en recurso de apelación núm. 184-2017, en lo que se refiere exclusivamente a la publicación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