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2.742/96 promovido por don Miguel Ángel Sánchez Ortiz, don José Angel Herrero Serrano, don Juan Manuel Llorente Sánchez, don Luis Gómez Pérez, doña Valentina Beltrán Núñez, doña María del Carmen Romero Cabrero y doña Elena Goñi Sevillano, representados por el Procurador de los Tribunales don Angel Martín Gutiérrez y asistidos del Letrado don Juan Durán Fuentes, contra la Sentencia de la Sala de lo Social del Tribunal Superior de Justicia de Madrid, de 20 de julio de 1995, dictada en procedimiento de tutela de derechos fundamentales. Han comparecido el Ministerio Fiscal y la Red Nacional de los Ferrocarriles Españoles (RENFE), representada por la Procuradora doña María Teresa de las Alas-Pumariño Larrañaga y asistida del Letrado don Luis Díaz-Guerra Alvarez.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julio de 1996 el Procurador de los Tribunales don Ángel Martín Gutiérrez, en nombre y representación de don Miguel Angel Sánchez Ortiz, don José Angel Herrero Serrano, don Juan Manuel Llorente Sánchez, don Luis Gómez Pérez, doña Valentina Beltrán Núñez, doña María del Carmen Romero Cabrero y doña Elena Goñi Sevillano, interpuso recurso de amparo contra la Sentencia de la Sala de lo Social del Tribunal Superior de Justicia de Madrid, de 20 de julio de 1995, estimatoria del recurso de suplicación interpuesto contra la dictada por el Juzgado de lo Social núm. 34 de Madrid en 31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afiliados a CC.OO., prestan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los recurrentes no participaron en la huelga se les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34 de Madrid en Sentencia de 31 de marzo de 1995 condenó a la empresa a abonar a cada uno de los recurrentes una indemnización de 10.000 ptas. por lesión de su derecho de libertad sindical, porque su afiliación sindical fue determinante para llevar a cabo el descuento.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20 de julio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de la C.E. precisaba que "la intimidad y la privacidad de los datos personales ideológicos, en tanto voluntariamente ofrecidos a la contraparte, transcienden de ese mundo reservado para incardinarse en la relación laboral ..." (cfr. fundamentos de Derecho séptimo y octavo).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22 de mayo de 1996, al no ser firme la Sentencia seleccionada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cien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porque vulnera los arts. 18.4, 24.1 y 28.1 C.E. A propósito del art. 24.1 denuncia, en primer lugar, que la Sentencia incurre en incongruencia por omisión ya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 ción seria, fundada, razonable, proporcionada y ajena a cualquier propósito antisindical o discriminatorio. Tal sustitución del criterio del Magistrado a quo convierte al extraordinario recurso de suplicación en una segunda instancia. Por el contrario, los recurrentes probaron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Los trabajadores no pudieron materialmente seguir la huelga porque su horario no coincidía con el de los paros y, en cambio, la Sentencia plantea la libre y voluntaria decisión de los actores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de la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21 de noviembre de 1996 acordó admitir a trámite la demanda de amparo y, en aplicación de lo dispuesto en el art. 51 LOTC, dirigir atenta comunicación a las Salas de lo Social del Tribunal Supremo y del Tribunal Superior de Justicia de Madrid y al Juzgado de lo Social núm. 34 de dicha capital para que remitan certificación o fotocopia adverada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en providencia de 17 de marzo de 1997 acordó tener por personada y parte en el procedimiento a la Procuradora doña María Teresa de las Alas-Pumariño Larrañaga,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RENFE solicitó la desestimación del amparo. En cuanto a la situación fáctica introduce una doble precisión. El descuento no se llevó a cabo por la afiliación sindical de los recurrentes,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los actores no acompañaron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16/1995).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además de precisar que la Resolución de la Agencia de Protección de Datos está impugnada en vía judicial, subraya que los recurrentes nada razonan ni exponen, sino que se limitan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de los actores en particular. A mayor abundamiento, si los recurrentes no participaron en la huelga, es obvio pensar que desobedecieron las instrucciones del Sindicato, apoyaron con su conducta a la empresa y, por tanto, resulta sorprendente y carente de sentido que ésta les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el otorgamiento del amparo por lesión del derecho de libertad sindical.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séptimo in fine de la Sentencia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1998,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visto desde la perspectiva constitucional que nos es propia, guarda una semejanza rayana en la identidad con los que fueron tema de una serie de Sentencias nuestras, muy recientes por lo demás. En efecto, la Sala Primera de este Tribunal Constitucional dictó la STC 11/1998, a la cual siguieron unas cuantas más de la misma Sala en acatamiento de aquél precedente para el caso, como son las SSTC 33/1998 y 35/1998, más la STC 95/1998 de ésta. Por lo dicho, nuestra respuesta ha de ser aquí la misma y, para ello, bastaría en principio con una escueta remisión a la doctrina contenida en las citadas Sentencias, aun cuando convenga a la ocasión traer aquí la ratio decidendi de aquella decisión cabeza de grupo.  Ahora bien, aún siendo idéntico sustancialmente para todos los casos el pronunciamiento final del Tribunal Superior de Justicia, en suplicación, el curso procesal varia según los casos, ya que a veces se ratifica la decisión del Juez en la primera instancia y en otras, como la de hoy, se revoca. Pues bien, dentro de una misma configuración general, pero con ciertos matices en algunos, es lo cierto que el común denominador de todos ellos para respaldar la pretensión, desde una perspectiva estrictamente constitucional, son el derecho a la intimidad y la libertad sindical, por una parte, y la incongruencia por la otra, aun cuando ésta se enfoque con distinta amplitud, meramente omisiva en ocasiones y en otras por alteración o deformación del debate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no es cierto que la Sala de lo Social revisara de oficio la Sentencia del Juez de lo Social, como si de una segunda instancia se tratara. La mera lectura de la Sentencia revela, sin embargo, la inconsistencia del agravio por no sobrepasar el ámbito de la suplicación como recurso extraordinario. Por otra parte, carece también de solidez la sedicente tacha de que en aquella se altera el planteamiento dialéctico del litigio.  Allí se razona que la empresa no obstaculizó en ningún momento el ejercicio libre del derecho fundamental a la huelga, conclusión divergente, eso sí, de la alcanzada por el Juez. Finalmente, tampoco se han ignorado o transgredido las reglas para distribuir la carga de la prueba, tema este que no engarza -en una síntesis de nuestra STC 136/1996- con el derecho a la tutela judicial, sino con el derecho fundamental en cada caso controvertido.</w:t>
      </w:r>
    </w:p>
    <w:p w:rsidRPr="00C21FFE" w:rsidR="00F31FAF" w:rsidRDefault="00356547">
      <w:pPr>
        <w:rPr/>
      </w:pPr>
      <w:r w:rsidRPr="&lt;w:rPr xmlns:w=&quot;http://schemas.openxmlformats.org/wordprocessingml/2006/main&quot;&gt;&lt;w:lang w:val=&quot;es-ES_tradnl&quot; /&gt;&lt;/w:rPr&gt;">
        <w:rPr/>
        <w:t xml:space="preserve">Una vez dicho esto no queda sino situar correctamente, desde la perspectiva constitucional, que es la propia de este proceso, la relación entre la libertad sindical y la protección de los datos informáticos dentro del derecho a la intimidad, ambos fundamentales. En efecto, el art.18.4 en su último inciso establece las limitaciones al uso de la informática para garantizar el pleno ejercicio de los derechos, lo que significa que, en supuestos como el presente, el artículo citado es, por así decirlo, un derecho instrumental ordenado a la protección de otros derechos fundamentales, entre los que se encuentra, desde luego, la libertad sindical, entendida ésta en el sentido que ha sido establecido por la doctrina de este Tribunal, porque es, en definitiva, el derecho que aquí se ha vulnerado como consecuencia de la detracción de salarios, decidida por la empresa al trabajador recurrente por su incorporación a determinado Sindicato.</w:t>
      </w:r>
    </w:p>
    <w:p w:rsidRPr="00C21FFE" w:rsidR="00F31FAF" w:rsidRDefault="00356547">
      <w:pPr>
        <w:rPr/>
      </w:pPr>
      <w:r w:rsidRPr="&lt;w:rPr xmlns:w=&quot;http://schemas.openxmlformats.org/wordprocessingml/2006/main&quot;&gt;&lt;w:lang w:val=&quot;es-ES_tradnl&quot; /&gt;&lt;/w:rPr&gt;">
        <w:rPr/>
        <w:t xml:space="preserve">En suma, ha de concluirse que tuvo lugar una lesión del art. 28.1 en conexión con el art.18.4 C.E. Éste no sólo entraña un específico instrumento de protección de los derechos del ciudadano frente al uso torticero de la tecnología informática, como ha quedado dicho, sino que además, consagra un derecho fundamental autónomo a controlar el flujo de informaciones que conciernen a cada persona -a la privacidad según la expresión utilizada en la Exposición de Motivos de la Ley Orgánica Reguladora del Tratamiento Automatizado de Datos de Carácter Personal,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 La vulneración de derechos fundamentales no queda supeditada, por otra parte, a la concurrencia de dolo o culpa en la conducta del sujeto activo, con la indagación de factores psicológicos y subjetivos de arduo control, elemento intencional irrelevante aquí, siendo suficiente la comprobación de que se da el nexo de causalidad adecuado entre el comportamiento antijurídico y el resultado lesivo prohibido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sobredicho conduce derechamente al otorgamiento del amparo para cuya efectividad, restableciendo a quienes lo piden en la integridad de su derecho fundamental [art.  55.1 c) LOTC], ha de ser anulada la Sentencia del Tribunal Superior de Justicia que se impugna.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Miguel Ángel Sánchez Ortiz, don José Ángel Herrero Serrano, don Juan Manuel Llorente Sánchez, don Luis Gómez Pérez, doña Valentina Beltrán Núñez, doña María del Carmen Romero Cabrero y doña Elena Goñi Sevillano y, en consecuencia,</w:t>
      </w:r>
    </w:p>
    <w:p w:rsidRPr="" w:rsidR="00F31FAF" w:rsidRDefault="00356547">
      <w:pPr>
        <w:rPr/>
      </w:pPr>
      <w:r w:rsidRPr="&lt;w:rPr xmlns:w=&quot;http://schemas.openxmlformats.org/wordprocessingml/2006/main&quot;&gt;&lt;w:szCs w:val=&quot;24&quot; /&gt;&lt;/w:rPr&gt;">
        <w:rPr/>
        <w:t xml:space="preserve">1º Reconocer a los recurrentes su derecho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20 de julio de 1995, recaída en el recurso de suplicación núm.  3218/95.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