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3054-2002, promovido por doña Carmen Ferrer Soler, representada por el Procurador de los Tribunales don Ramón Rodríguez Nogueira y asistida por el Abogado don José Vicente Belenguer Mula, contra la Sentencia dictada por la Sección Undécima de la Audiencia Provincial de Valencia núm. 172/2002, de 17 de abril de 2002, que estima el recurso de apelación interpuesto frente a la Sentencia de fecha 16 de noviembre de 2001 del Juzgado de Primera Instancia núm. 6 de Gandía que, desestimando la demanda interpuesta por el Colegio de Secretarios, Interventores y Tesoreros de Administración local con habilitación de carácter nacional de la provincia de Valencia, eximía a la ahora recurrente del pago de cuotas colegiales.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mayo de 2002, el Procurador de los Tribunales don Ramón Rodríguez Nogueira, en nombre y representación de doña Carmen Ferrer Soler, interpuso recurso de amparo contra la Sentencia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la provincia de Valencia planteó demanda contra la Sra. Ferrer Soler, Secretaria de Administración local, en reclamación de 901,52 € (150.000 pesetas), importe al que ascendían las cuotas impagadas por la misma durante el período 1996-2000. </w:t>
      </w:r>
    </w:p>
    <w:p w:rsidRPr="00C21FFE" w:rsidR="00F31FAF" w:rsidRDefault="00356547">
      <w:pPr>
        <w:rPr/>
      </w:pPr>
      <w:r w:rsidRPr="&lt;w:rPr xmlns:w=&quot;http://schemas.openxmlformats.org/wordprocessingml/2006/main&quot;&gt;&lt;w:lang w:val=&quot;es-ES_tradnl&quot; /&gt;&lt;/w:rPr&gt;">
        <w:rPr/>
        <w:t xml:space="preserve">b) La Sra. Ferrer Soler se opuso a la demanda alegando la excepción de incompetencia de jurisdicción, por un lado, y de falta de legitimidad constitucional de la obligatoriedad de la pertenencia al colegio, por otro, siendo estimada esta última alegación en Sentencia dictada el 16 de noviembre de 2001 por el Juzgado de Primera Instancia núm. 6 de Gandía.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la provincia de Valencia contra la referida Sentencia, el mismo fue estimado en la dictada el 17 de abril de 2002 por la Sección Undécima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la recurrente sostiene que ha agotado correctamente la vía judicial previa, tal y como requiere el art. 44.1 a) LOTC, puesto que aunque existan resoluciones contradictorias de diversas Secciones de la Audiencia Provincial de Valencia (Cuarta, Sexta y Séptima),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-señala la recurrente-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 la demandante de amparo, el art. 22 CE. Según ella,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Presidencia de la Diputación General de Aragón; art. 9. 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la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de 2003, la Sección Segunda admitió a trámite la demanda, acordando dirigir atenta comunicación a la Audiencia Provincial de Valencia y al Juzgado de Primera Instancia núm. 6 de Gandía para que remitieran certificación o fotocopia adverada de las actuaciones correspondientes, emplazando a quienes hubieran sido parte en el procedimiento; y ordenó que se formase la pieza separada de suspensión, concediendo a la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183/2003, de 2 de junio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Primera del Tribunal Constitucional de 24 de septiembre de 2003 se tienen por recibidos los testimonios de las actuaciones remitidos por la Sección Undécima de la Audiencia Provincial de Valencia y por el Juzgado de Primera Instancia núm. 6 de Gandía, y se acordó dar vista de las actuaciones recibidas a la recurrente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evacuó el trámite de alegaciones conferido mediante escrito registrado en fecha 22 de octubre de 2003, en el que dio por reiteradas las efectuadas en el escrito de demanda y termina suplicando se dicte Sentencia por la que se otorgue a la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29 de octubre de 2003, en el que, con base en la argumentación que a continuación se resume, interesó la estimación de la demanda de amparo, por haber vulnerado la resolución judicial recurrida el derecho de asociación de la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 la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parte esencial de tales funciones tiene que ser desempeñada por la Administración, sin que las competencias residuales que asume el colegio tengan entidad suficiente para considerarlas de interés público, al menos con la intensidad suficiente como para imponer la pertenencia obligatoria a él, por cuya razón ha de estimarse vulnerada, también materialmente, y no solamente en conexión con el art. 24 CE, la libertad de asociarse de la recurrente, que forma parte del contenido del derecho de asociación (art. 22 CE). Esta doctrina -concluye el Fiscal- ha sido ratificada por la STC 76/2003, dictada por el Pleno del Tribunal el 23 de abril, en un caso igual al ahora enjuiciado.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de que la vulneración del derecho de asociación se ha producido por la resolución del órgano del Poder Judicial dictada con ocasión de la reclamación del pago de las cuotas efectuada a la demandante por el Colegio de Secretarios, Interventores y Tesoreros de Administración local con habilitación de carácter nacional de la provincia de Valencia, del que la recurrente no consta que haya solicitado la baja ni que haya impugnado su eventual denegación, debe limitarse a la anulación de la condena al pago de la cuotas, en la medida en que dicho pago tiene su causa en la obligatoriedad de la pertenencia de la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noviembre se señaló para la deliberación y votación de la presente Sentencia el día 1 de diciembre,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Undécima de la Audiencia Provincial de Valencia, de 17 de abril de 2002, por la que se condenó a la recurrente en amparo, Secretaria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La recurrente,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ella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amparoresuelto por Sentencia del Pleno de este Tribunal núm. 76/2003, de 23 de abril (con doctrina reiterada en las SSTC 96/2003, de 22 de mayo; 108/2003, de 2 de junio; 120/2003, de 16 de junio; y 149/2003, de 14 de julio; y 162/2003, de 15 de septiembre; 183/2003, de 20 de octubre; y 201/2003, de 10 de noviembre),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 la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 la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doña Carmen Ferrer Soler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Undécima de la Audiencia Provincial de Valencia núm. 172/2002, de 17 de abril de 2002, recaída en el rollo de apelación núm. 96-2002.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