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4168-2003, promovido por el Letrado don Luis Miguel Pérez Espadas en interés de don Makan Konate, al que por turno de justicia gratuita se le designó a la Procuradora de los Tribunales doña Susana Téllez Andrea, contra el Auto de 12 de junio de 2003 del Juzgado de Instrucción núm. 1 de Puerto del Rosario, que inadmitió a trámite la solicitud de habeas corpus presentada.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junio de 2003 el Letrado don Luis Miguel Pérez Espadas, manifestando defender de oficio a don Makan Konate, interpuso recurso de amparo contra la Resolución del Juzgado de Instrucción núm. 1 de Puerto del Rosario citada más arriba. En él solicitaba el Letrado que se oficiara al Colegio de Procuradores de Madrid a efectos de que se nombrase uno de sus colegiados para representar a su defendido.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Makan Konate fue detenido el 9 de junio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12 de junio de 2003, que inadmitía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 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Makan Konate,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 de julio de 2003 de la Sección Segunda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10 de julio de 2003, en la que asimismo se acordaba conceder a la Procuradora doña Susana Téllez Andrea, de conformidad con el art. 50.5 LOTC, un plazo de diez días para que acreditase con su firma la asunción de la representación del recurrente en la demanda presentada por el Letrado don Luis Miguel Pérez Espadas, lo que hizo el 28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noviembre de 2004 la Sección Segunda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habeas corpus núm.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diciembre de 2004 se tuvo por recibido el testimonio de las actuaciones judiciales solicitadas y, con base en el art. 52 LOTC, se acordó otorgar un plazo común de veinte días al Ministerio Fiscal y al recurrente para que alegaran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29 de diciembre de 2004, remitiéndose a su recurso de amparo, reiteró su petición de estimación del mismo. Por escrito registrado el 20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10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19-2003; asimismo, se acordó recabar de la comisaría de policía nacional de Puerto del Rosario copia de todas las actuaciones practicadas respecto del demandante que fue detenido por agentes de esa Comisaría el 10 de junio de 2003, (diligencias policiales núm. 1474- 2003).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 de marzo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Makan Konate, inadmisión de plano que argumentó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a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12 de junio de 2003 mediante el cual se inadmitió de plano el habeas corpus solicitado por el recurrente, éste estuviera ya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la citada STC 169/2006, lo trascendente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el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Makan Konate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núm. 1 de Puerto del Rosario de 12 de junio de 2003, recaído en procedimiento de habeas corpus núm. 19-2003.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Roberto García-Calvo y Montiel respecto de la Sentencia dictada en el recurso de amparo número 4168-2003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que, creo he plasmado fielmente en la resolución de la que he sido Ponente, por medio de este Voto particular quiero expresar mi discrepancia con dicha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