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4493-1998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4.493/1998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denegar la suspensión de la ejecución de la Sentencia de 5 de junio de 1998, dictada por la Sección Primera de la Audiencia Provincial de Pontevedra (Rollo 1120/1997, juicio de cognición 100/1997, del Juzgado de Primera</w:t>
            </w:r>
          </w:p>
          <w:p w:rsidRPr="00D13423" w:rsidR="00AD51A7" w:rsidRDefault="00AD51A7">
            <w:pPr>
              <w:rPr/>
            </w:pPr>
            <w:r w:rsidRPr="&lt;w:rPr xmlns:w=&quot;http://schemas.openxmlformats.org/wordprocessingml/2006/main&quot;&gt;&lt;w:color w:val=&quot;800080&quot; /&gt;&lt;w:szCs w:val=&quot;24&quot; /&gt;&lt;/w:rPr&gt;">
              <w:rPr/>
              <w:t xml:space="preserve">Instancia núm. 2 de Tuy).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octubre de 1998 se registra en este Tribunal escrito firmado por la representación de los demandantes por el que se interpone recurso de amparo contra el Auto de aclaración, de fecha 25 de junio de 1998, dictado por la Sección Primera de la Audiencia Provincial de Pontevedra, ratificado posteriormente al desestimar incidente de nulidad de actuaciones (Rollo 1120/1997, juicio de cognición 100/1997, del Juzgado de Primera Instancia núm. 2 de Tuy).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que articula su queja en virtud del art. 44 LOTC, imputa a la resolución judicial recurrida vulneración del art. 24.1 C.E., pues entienden que el Auto cuestionado, así como los posteriores que lo ratifican, infringen el derecho fundamental a la tutela judicial efectiva sin indefensión, en su vertiente del derecho a la intangibilidad de las resoluciones judiciales firmes, porque a través del cauce de la aclaración, sustituye la Sentencia desestimatoria de la pretensión del apelante por otra estimatoria de la misma, emitiendo un pronunciamiento radicalmente contrario, incluidas las costas.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mediante providencia de fecha 21 de septiembre de 1999,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de fecha 29 de septiembre y 8 de octubre, los recurrentes y el Ministerio Fiscal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Para el Ministerio Fiscal, es procedente decretar la suspensión de la ejecución de las resoluciones a que se refiere la presente demanda de amparo, dada la actividad comercial familiar que se desarrollaba en el local comercial cuyo lanzamiento se ha llevado a efecto en ejecución de la sentencia impugnada, todo ello sin perjuicio de lo que los recurrentes pudieran alegar para confirmar o desmentir la irreparabilidad del daño o perjuicio grave que podría ocasionarse con el lanzamiento. </w:t>
      </w:r>
    </w:p>
    <w:p w:rsidRPr="00C21FFE" w:rsidR="00AD51A7" w:rsidRDefault="00AD51A7">
      <w:pPr>
        <w:rPr/>
      </w:pPr>
      <w:r w:rsidRPr="&lt;w:rPr xmlns:w=&quot;http://schemas.openxmlformats.org/wordprocessingml/2006/main&quot;&gt;&lt;w:lang w:val=&quot;es-ES_tradnl&quot; /&gt;&lt;/w:rPr&gt;">
        <w:rPr/>
        <w:t xml:space="preserve">Los recurrentes consideran extemporánea, y por ello innecesaria, cualquier resolución de los efectos de la sentencia impugnada, pues la misma ha sido ya llevada a efecto, por lo que entienden que sólo cabe reservar las acciones de indemnización de los daños y perjuicios causados por la privación y desalojo prematuro del local comercial, en caso de estimarse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17/80, 57/80, 257/86, 249/89, 294/89, 141/90 ó 35196), la suspensión se configura como una medida provisional de carácter excepcional y de aplicación restrictiva, dado el interés general en la efectividad de las decisiones de los poderes públicos, y, en particular, en la ejecución de las resoluciones judiciales, puesto que, como se afirma en el ATC 143/92,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impida definitivamente que tal restauración sea efectiva. En general se ha entendido que las resoluciones judiciales con efectos meramente patrimoniales o económicos, como la aquí cuestionada, no causan, en principio, perjuicios irreparables, por lo que no procede su suspensión (AATC 573/1985, 574/1985 ó 275/1990). Esta conclusión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y a la vista de las propias manifestaciones de los demandantes de amparo, recogidas en los antecedentes de esta resolución, que ponen de manifiesto la posibilidad de reparación económica del perjuicio inferido, si es que el amparo llegara a otorgarse, no procede decretar la suspensión solicitada en atención a su naturaleza puramente patrimonial o económica, susceptible de ser evaluada en un momento posterior.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denegar la suspensión de la ejecución de la Sentencia de 5 de junio de 1998, dictada por la Sección Primera de la Audiencia Provincial de Pontevedra (Rollo 1120/1997, juicio de cognición 100/1997, del Juzgado de Primera</w:t>
      </w:r>
    </w:p>
    <w:p w:rsidRPr="" w:rsidR="00AD51A7" w:rsidRDefault="00AD51A7">
      <w:pPr>
        <w:rPr/>
      </w:pPr>
      <w:r w:rsidRPr="&lt;w:rPr xmlns:w=&quot;http://schemas.openxmlformats.org/wordprocessingml/2006/main&quot;&gt;&lt;w:szCs w:val=&quot;24&quot; /&gt;&lt;/w:rPr&gt;">
        <w:rPr/>
        <w:t xml:space="preserve">Instancia núm. 2 de Tuy).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