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1716-1998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1.716/1998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 la Sentencia dictada por la Sección Tercera de la Audiencia Provincial de Girona de 23 de mayo de 1997, dictada en la causa 119/96, exclusivamente en lo referente a la pena</w:t>
            </w:r>
          </w:p>
          <w:p w:rsidRPr="00D13423" w:rsidR="00AD51A7" w:rsidRDefault="00AD51A7">
            <w:pPr>
              <w:rPr/>
            </w:pPr>
            <w:r w:rsidRPr="&lt;w:rPr xmlns:w=&quot;http://schemas.openxmlformats.org/wordprocessingml/2006/main&quot;&gt;&lt;w:color w:val=&quot;800080&quot; /&gt;&lt;w:szCs w:val=&quot;24&quot; /&gt;&lt;/w:rPr&gt;">
              <w:rPr/>
              <w:t xml:space="preserve">privativa de libertad de cuatro años de prisión menor y accesoria de suspensión del derecho de sufragio durante el tiempo de la condena.</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abril de 1998, don Eduardo Morales Price, Procurador de los Tribunales y de don Fidel Castillo Canal, interpuso recurso de amparo contra el Auto de la Sala Segunda del Tribunal Supremo de 11 de marzo de 1998 (dictado en el recurso de casación núm. 1927/87), que inadmitió el recurso de casación interpuesto contra la Sentencia dictada el 23 de mayo de 1997 por la Audiencia Provincial de Girona en el procedimiento abreviado núm. 341/96.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19 de septiembre de 1996, la Audiencia Provincial de Girona dictó Sentencia absolviendo al ahora recurrente del delito contra la salud pública de que le acusaba el Ministerio Fiscal, declarando de oficio las costas causadas. </w:t>
      </w:r>
    </w:p>
    <w:p w:rsidRPr="00C21FFE" w:rsidR="00AD51A7" w:rsidRDefault="00AD51A7">
      <w:pPr>
        <w:rPr/>
      </w:pPr>
      <w:r w:rsidRPr="&lt;w:rPr xmlns:w=&quot;http://schemas.openxmlformats.org/wordprocessingml/2006/main&quot;&gt;&lt;w:lang w:val=&quot;es-ES_tradnl&quot; /&gt;&lt;/w:rPr&gt;">
        <w:rPr/>
        <w:t xml:space="preserve">b) Contra esta Sentencia recurrió en casación el Ministerio Fiscal, dando lugar a que la Sala Segunda del Tribunal Supremo dictara Sentencia el 21 de marzo de 1997 declarando haber lugar al recurso y ordenando reponer las actuaciones al estado de deliberación de la Sentencia, a fin de que fuera dictada otra, en la que, en la forma y manera que estimara más ajustada a Derecho, se apreciara en conciencia la prueba tachada indebidamente de nula. </w:t>
      </w:r>
    </w:p>
    <w:p w:rsidRPr="00C21FFE" w:rsidR="00AD51A7" w:rsidRDefault="00AD51A7">
      <w:pPr>
        <w:rPr/>
      </w:pPr>
      <w:r w:rsidRPr="&lt;w:rPr xmlns:w=&quot;http://schemas.openxmlformats.org/wordprocessingml/2006/main&quot;&gt;&lt;w:lang w:val=&quot;es-ES_tradnl&quot; /&gt;&lt;/w:rPr&gt;">
        <w:rPr/>
        <w:t xml:space="preserve">c) Recibidas nuevamente las actuaciones, la Audiencia Provincial de Girona dictó Sentencia de 23 de mayo de 1997, condenando al aquí recurrente, como autor de un delito contra la salud pública, a las penas de cuatro años de prisión menor y multa de cinco millones de pesetas, con arresto sustitutorio de un mes para caso de impago, accesorias de suspensión de cargo público y del derecho de sufragio durante el tiempo de la condena, así como al pago de la mitad de las costas procesales. </w:t>
      </w:r>
    </w:p>
    <w:p w:rsidRPr="00C21FFE" w:rsidR="00AD51A7" w:rsidRDefault="00AD51A7">
      <w:pPr>
        <w:rPr/>
      </w:pPr>
      <w:r w:rsidRPr="&lt;w:rPr xmlns:w=&quot;http://schemas.openxmlformats.org/wordprocessingml/2006/main&quot;&gt;&lt;w:lang w:val=&quot;es-ES_tradnl&quot; /&gt;&lt;/w:rPr&gt;">
        <w:rPr/>
        <w:t xml:space="preserve">d) Contra esta Sentencia interpuso la representación de don Fidel Castillo Canal recurso de casación ante la Sala Segunda del Tribunal Supremo que, por Auto de 11 de marzo de 1998, declaró no haber lugar a su admisión, condenando al recurrente al pago de las costas del recurso y, en su caso, a la pérdida del depósito.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se declare que las resoluciones judiciales citadas han vulnerado los derechos del recurrente a la tutela judicial efectiva sin indefensión del artículo 24.1 CE, así como el derecho a la presunción de inocencia del art. 24.2 CE Por otrosí, en la misma demanda, al amparo de lo establecido en el artículo 56.1 LOTC, el demandante solicita se deje en suspenso la ejecución de la Sentencia, alegando que una hipotética concesión del amparo carecería de efecto si el recurrente hubiera cumplido ya la pena privativa de libertad. Asimismo, el recurrente argumentó que la suspensión de la pena no perturbaría los intereses generales, ni los derechos fundamentales, ni las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diciembre de 1999, la Sección Primera de este Tribunal acordó la admisión a trámite de la demanda, así como, a tenor de lo establecido en el art. 51 LOTC, requerir atentamente a la Sala Segunda del Tribunal Supremo y a la Sección Tercera de la Audiencia Provincial de Girona para que en plazo de diez días remitieran testimonio del procedimiento y para que se emplazara a quienes fueron parte en el procedimiento, con excepción del recurrente en amparo,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En la misma providencia se acordó formar la correspondiente pieza separada de suspensión y, por otro proveído de la misma fecha, se acorde,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diciembre de 1999 tuvo entrada en este Tribunal el escrito de alegaciones del Ministerio Fiscal. En dicho escrito, tras un breve relato de los antecedentes procesales, el Ministerio Público sostiene la conveniencia de acceder a la suspensión interesada con respecto de la pena privativa de libertad. Con cita de los AATC 53/1992, 152/1995, 196/1995, 121/1996, 163/1996, 226/1996, 226/1996, 310/1996, 349/1996, 419/1997, 420/1997, 49/1998 y 186/1998, entiende el Ministerio Fiscal que si se compara la duración de la pena privativa de libertad con el tiempo que requiere la tramitación de un proceso como el presente, no suspender la ejecución causaría un perjuicio irreparable que dejaría en entredicho la eficacia de un eventual fallo estimatorio. Además, no aprecia el Fiscal que conceder la suspensión ocasionara una lesión específica y grave del interés general, más allá de la que produce la no ejecución de un fallo judicial. </w:t>
      </w:r>
    </w:p>
    <w:p w:rsidRPr="00C21FFE" w:rsidR="00AD51A7" w:rsidRDefault="00AD51A7">
      <w:pPr>
        <w:rPr/>
      </w:pPr>
      <w:r w:rsidRPr="&lt;w:rPr xmlns:w=&quot;http://schemas.openxmlformats.org/wordprocessingml/2006/main&quot;&gt;&lt;w:lang w:val=&quot;es-ES_tradnl&quot; /&gt;&lt;/w:rPr&gt;">
        <w:rPr/>
        <w:t xml:space="preserve">Sin embargo, en lo tocante a la suspensión de la pena de multa de cinco millones de pesetas y la eventual responsabilidad personal subsidiaria, con cita del ATC 136/1999, entiende el Ministerio Fiscal que no procede la suspensión, al tratarse de una responsabilidad personal que nace solamente en el supuesto de impago de la multa, eventualidad que es incierta en este momento y que, en caso de sobrevenir, podría dar lugar a la modificación de la medida cautelar, por lo que se opone a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28 de diciembre de 1999 se registró en este Tribunal el escrito de alegaciones del solicitante de amparo, en el que se limitó a dar por reproducidas las alegaciones contenidas en el primer otrosí de su escrito de interposición del recurso, al que hemos aludido anteriormente.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y 186/1998),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310/1996,349/1996,419/1997,420/1997,49/1998 y 186/1998, entre otros).</w:t>
      </w:r>
    </w:p>
    <w:p w:rsidRPr="00C21FFE" w:rsidR="00AD51A7" w:rsidRDefault="00AD51A7">
      <w:pPr>
        <w:rPr/>
      </w:pPr>
      <w:r w:rsidRPr="&lt;w:rPr xmlns:w=&quot;http://schemas.openxmlformats.org/wordprocessingml/2006/main&quot;&gt;&lt;w:lang w:val=&quot;es-ES_tradnl&quot; /&gt;&lt;/w:rPr&gt;">
        <w:rPr/>
        <w:t xml:space="preserve">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considerar, si se compara la duración de la pena privativa de libertad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no se aprecia que acceder a la suspensión solicitada ocasione una lesión específica y grave del interés general, más allá de aquella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Procede, asimismo, la suspensión de la pena de suspensión de cargo público y derecho de sufragio durante el tiempo de la condena dado que, al haber sido impuesta como accesoria de la principal de privación de libertad, ha de correr la misma suerte que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-multa de cinco millones de pesetas y costas procesales- de conformidad con el criterio de este Tribunal de que, por tratarse de condenas de contenido económico, los perjuicios anejos a su ejecución son perfectamente reparables, incluso aunque se otorgase el amparo (AATC 152/1996, 371/1996, 91/1997, 181/1998, 182/1998 y 273/1998). Este criterio se ve confirmado porque el recurrente no cumple con la carga que le compete de acreditar de qué modo el cumplimiento de lo resuelto causaría un perjuicio que hiciera perder al amparo su finalidad.  Tampoco procede, en el momento actual, la suspensión de la responsabilidad personal subsidiaria para el caso de impago de la pena de multa -un mes de arresto sustitutorio-. Se trata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 57 LOTC (AATC 107/1998, 136/1999, 227/1999 y 245/1999).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 la Sentencia dictada por la Sección Tercera de la Audiencia Provincial de Girona de 23 de mayo de 1997, dictada en la causa 119/96, exclusivamente en lo referente a la pena</w:t>
      </w:r>
    </w:p>
    <w:p w:rsidRPr="" w:rsidR="00AD51A7" w:rsidRDefault="00AD51A7">
      <w:pPr>
        <w:rPr/>
      </w:pPr>
      <w:r w:rsidRPr="&lt;w:rPr xmlns:w=&quot;http://schemas.openxmlformats.org/wordprocessingml/2006/main&quot;&gt;&lt;w:szCs w:val=&quot;24&quot; /&gt;&lt;/w:rPr&gt;">
        <w:rPr/>
        <w:t xml:space="preserve">privativa de libertad de cuatro años de prisión menor y accesoria de suspensión del derecho de sufragio durante el tiempo de la condena.</w:t>
      </w:r>
    </w:p>
    <w:p w:rsidRPr="" w:rsidR="00AD51A7" w:rsidRDefault="00AD51A7">
      <w:pPr>
        <w:rPr/>
      </w:pPr>
      <w:r w:rsidRPr="&lt;w:rPr xmlns:w=&quot;http://schemas.openxmlformats.org/wordprocessingml/2006/main&quot;&gt;&lt;w:szCs w:val=&quot;24&quot; /&gt;&lt;/w:rPr&gt;">
        <w:rPr/>
        <w:t xml:space="preserve">2°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