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suspender la ejecución de la Sentencia de la Audiencia Provincial de Pontevedra (Sección Cuarta) de 13 de marzo de 2000, recaída en el rollo de apelación núm. 1013-2000, y de la Sentencia de 14 de octubre de</w:t>
            </w:r>
          </w:p>
          <w:p w:rsidRPr="00D13423" w:rsidR="00AD51A7" w:rsidRDefault="00AD51A7">
            <w:pPr>
              <w:rPr/>
            </w:pPr>
            <w:r w:rsidRPr="&lt;w:rPr xmlns:w=&quot;http://schemas.openxmlformats.org/wordprocessingml/2006/main&quot;&gt;&lt;w:color w:val=&quot;800080&quot; /&gt;&lt;w:szCs w:val=&quot;24&quot; /&gt;&lt;/w:rPr&gt;">
              <w:rPr/>
              <w:t xml:space="preserve">1999 del Juzgado de lo Penal núm. 1 de Pontevedra (procedimiento abreviado núm. 110/99), exclusivamente en lo que se refiere a la pena impuesta de cuatro años de prisión.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31 de marzo de 2000 tuvo entrada en este Tribunal escrito de don Pablo Montoya Alfonso, interno en el Centro Penitenciario de A Lama (Pontevedra), en el que solicitaba que le fuesen designados Procurador y Abogado de oficio a fin de recurrir en amparo contra la Sentencia de 13 de marzo de 2000 de la Sección Cuarta de la Audiencia Provincial de Pontevedra, dictada en recurso de apelación contra la del Juzgado de lo Penal núm. 1 de dicha ciudad, en procedimiento abreviado núm. 110/99, por la que se le condena, como autor responsable de un delito de obstrucción a la Justicia, a las penas de cuatro años de prisión y veinticuatro meses de multa con una cuota diaria de mil pesetas, así como al pago de las costas. Con fecha 3 de octubre de 2000, la Procuradora de los Tribunales doña Clara Isabel Román Navas, asistida de la Abogada doña María Concepción Fernández Piñeiro, formalizó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condenado por Sentencia de 14 de octubre de 1999 del Juzgado de lo Penal núm. 1 de Pontevedra (procedimiento abreviado núm. 110/99). a las penas de cuatro años de prisión y veinticuatro meses de multa a razón de una cuota diaria de mil pesetas, como autor de un delito de obstrucción a la Justicia del art. 464.1 del Código Penal, por la intimidación que perpetró en la persona de una testigo que iba a prestar declaración en una causa penal en la que el recurrente había sido acusado por hurto de uso de un vehículo, si bien pese a la intimidación, dicha persona testificó en la causa, en la que el recurrente fue condenado por la falta de hurto de uso. b) Contra dicha Sentencia interpuso recurso de apelación, alegando entre otras cuestiones la infracción del art. 66.1a del Código Penal, en relación con el principio de proporcionalidad, toda vez que en la Sentencia se impone la pena en su grado máximo sin motivar esta decisión, según entiende el recurrente. La Sección Cuarta de la Audiencia Provincial de Pontevedra dictó Sentencia el 13 de marzo de 2000 desestimando íntegramente el recurso de apelación. En el particular de la alegación antes referida, razona la Audiencia que sobre la determinación y extensión de la pena no puede pronunciarse por razones de congruencia, ya que en el escrito de apelación sólo se solicitó la absolución.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síntesis, que las Sentencias recurridas han lesionado el derecho del recurrente a la tutela judicial efectiva (art. 24.1 CE), por falta de motivación de la individualización de la pena. Argumenta el recurrente que la Sentencia de instancia impone la pena prevista en el art. 464.1 del Código penal en su máxima extensión, sin exponer las razones para tal decisión, como exige expresamente el art. 66.1 del propio Código. La Audiencia Provincial no reparó la lesión producida, al negarse a entrar en esta cuestión, pese a que la misma fue planteada como uno de los motivos de apelación, aunque en el suplico se omitiese la petición subsidiaria de aplicar una pena inferior para el caso de no acceder a la pretensión de absolución.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se solicitó que se acordase la suspensión de la ejecución de las Sentencias recurridas, toda vez que la ejecución de dichas resoluciones judiciales produciría al recurrente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junio de 2001, la Sección Primera de este Tribunal acordó, de conformidad con lo dispuesto en el art. 50.3 LOTC, conceder plazo común de diez días al Ministerio Fiscal y al solicitante de amparo, para que en dicho término pudiesen alegar acerca de la posible concurrencia del motivo de inadmisión previsto en el art. 50.1 c) LOTC y consistente en carecer la demanda manifiestamente de contenido que justifique una decisión sobre su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Efectuadas las alegaciones, por providencia de 17 de septiembre de 2001 la Sección Primera de este Tribunal acordó la admisión a trámite del recurso de amparo y, encontrándose el testimonio de las actuaciones en este Tribunal, dar vista de las mismas por plazo común de veinte días al Ministerio Fiscal y al recurrente en amparo para formular alegaciones, de conformidad con lo dispuesto en el art. 52.1 LOTC. </w:t>
      </w:r>
    </w:p>
    <w:p w:rsidRPr="00C21FFE" w:rsidR="00AD51A7" w:rsidRDefault="00AD51A7">
      <w:pPr>
        <w:rPr/>
      </w:pPr>
      <w:r w:rsidRPr="&lt;w:rPr xmlns:w=&quot;http://schemas.openxmlformats.org/wordprocessingml/2006/main&quot;&gt;&lt;w:lang w:val=&quot;es-ES_tradnl&quot; /&gt;&lt;/w:rPr&gt;">
        <w:rPr/>
        <w:t xml:space="preserve">Mediante otro proveído de la misma fecha, la Sección Primera acordó formar la presente pieza separada de suspensión y, de conformidad con lo dispuesto en el art. 56 LOTC, conceder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26 de septiembre de 2001 se registró en este Tribunal el escrito de alegaciones del solicitante de amparo. En dicho escrito se interesa la suspensión de la firmeza (sic) y ejecución de las Sentencias impugnadas en tanto se sustancia el presente recurso de amparo, ya que dada la duración de la condena impuesta, el cumplimiento de la misma haría perder su finalidad al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conferido mediante escrito presentado el 24 de septiembre de 2001. El Fiscal señala que no se opone a la suspensión de la pena privativa de libertad impuesta, pues dada la duración de la misma y el tiempo que requiere la tramitación de un recurso de amparo, de no suspenderse la ejecución se ocasionaría un perjuicio irreparable que dejaría en entredicho la eficacia de un eventual fallo estimatorio. Por el contrario, no resulta procedente la suspensión de la pena de multa ni el pronunciamiento de condena en costas, al revestir un carácter meramente económico, por lo que su ejecución no comporta perjuicios irreparables que hagan perder su finalidad al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doctrina expuesta,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 Esta doctrina resulta asimismo de aplicación a la condena en costas procesales pues al entrañar un pago en dinero, su ejecución no provoca ningún perjuicio que pueda hacer inútil el recurso de amparo (AATC 1 16/2000, de 5 de mayo, 44/2001, de 26 de febrero y 161/2001, de 18 de junio, entre otros muchos).</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privativas de libertad, si bien este criterio general tampoco es absoluto, pues en estos supuestos nuestro enjuiciamiento también debe ponderar otras circunstancias relevantes, entre las cuales adquiere especial significación la duración y gravedad de la pena impuesta porque, con ciertos matices que no hacen ahora al caso, en ella se expresa la reprobación que el ordenamiento asigna al hecho delictivo y, por consiguiente, la magnitud del interés general en su ejecución (AATC 136/1999, de 31 de mayo, 116/2000, de 5 de mayo, 171/2000, de 10 de julio, 157/2001, de 18 de junio y 230/2001, de 24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impuesta (cuatro años de prisión) con el tiempo que requiere la tramitación de un proceso como el presente, que no suspender su ejecución ocasionaría un perjuicio irreparable, que dejaría en entredicho la eficacia de un eventual fallo estimatorio. De otro lado, atendidas las demás circunstancias concurrentes en el caso, no se aprecia que el acceder a la suspensión solicitada ocasione una lesión específica y grave del interés general, más allá de aquella que de por sí produce la no ejecución de un fallo judicial, como bien advierte en sus alegaciones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no procede la suspensión de las resoluciones judiciales en lo que respecta a los pronunciamientos condenatorios de carácter patrimonial Ämulta de veinticuatro meses a razón de una cuota diaria de mil pesetas y costas procesalesÄ, pues al tratarse de penas de contenido económico, los perjuicios anejos a su ejecución son perfectamente reparables en caso de otorgarse el amparo; sin olvidar, por lo demás, que el recurrente no ha levantado la carga que sobre él pesa de acreditar de qué modo el cumplimiento de estos concretos pronunciamientos le ocasionaría un perjuicio que hiciera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suspender la ejecución de la Sentencia de la Audiencia Provincial de Pontevedra (Sección Cuarta) de 13 de marzo de 2000, recaída en el rollo de apelación núm. 1013-2000, y de la Sentencia de 14 de octubre de</w:t>
      </w:r>
    </w:p>
    <w:p w:rsidRPr="" w:rsidR="00AD51A7" w:rsidRDefault="00AD51A7">
      <w:pPr>
        <w:rPr/>
      </w:pPr>
      <w:r w:rsidRPr="&lt;w:rPr xmlns:w=&quot;http://schemas.openxmlformats.org/wordprocessingml/2006/main&quot;&gt;&lt;w:szCs w:val=&quot;24&quot; /&gt;&lt;/w:rPr&gt;">
        <w:rPr/>
        <w:t xml:space="preserve">1999 del Juzgado de lo Penal núm. 1 de Pontevedra (procedimiento abreviado núm. 110/99), exclusivamente en lo que se refiere a la pena impuesta de cuatro años de prisión.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