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2228-2001.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20 de abril de 2001 en el Registro General de este Tribunal, el Asesor Jurídico-Letrado de la Comunidad Foral de Navarra, actuando en representación de esta Administración, interpuso recurso de amparo contra la Sentencia de 22 de marzo de 2001, de la Sala de lo Contencioso- Administrativo del Tribunal Superior de Justicia de Navarra, por la que se estima el recurso contencioso-administrativo formulado frente al Acuerdo del Gobierno de Navarra de 15 de septiembre de 1997, desestimatorio, a su vez, del recurso ordinario promovido contra la Orden Foral de 14 de mayo de 1997, del Consejero de Industria, Comercio, Turismo y Trabajo,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de 14 de mayo de 1997, el Consejero de Industria, Comercio, Turismo y Trabajo impuso a la mercantil "Wisco Española, S.A.",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15 de septiembre de 1997.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empresa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al art. 44.1 a) y 50.1 a) de la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22 de marzo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w:t>
      </w:r>
    </w:p>
    <w:p w:rsidRPr="00C21FFE" w:rsidR="00AD51A7" w:rsidRDefault="00AD51A7">
      <w:pPr>
        <w:rPr/>
      </w:pPr>
      <w:r w:rsidRPr="&lt;w:rPr xmlns:w=&quot;http://schemas.openxmlformats.org/wordprocessingml/2006/main&quot;&gt;&lt;w:lang w:val=&quot;es-ES_tradnl&quot; /&gt;&lt;/w:rPr&gt;">
        <w:rPr/>
        <w:t xml:space="preserve">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2228-2001.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