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6469-2002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6469-2002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15 de noviembre de 2003 el Procurador don Alvaro Arana Moro interpuso demanda de amparo, en nombre y representación de don Jesús Manuel Sánchez Paz, contra Auto de la Audiencia Provincial de Santa Cruz de Tenerife (Sección Primera) de 23 de septiembre de 2002, recaído en recurso de apelación dimanante de juicio de divorcio núm. 271/99 seguido ante el Juzgado de Primera Instancia e Instrucción núm. 1 de dicha ciudad.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el Auto de la Audiencia impugnado vulnera el derecho a la igualdad (art. 14 CE), el derecho a la tutela judicial efectiva (art. 24. 1 CE) y el derecho a un proceso con todas las garantías y a utilizar los medios de prueba pertinentes para la defensa (art. 24. 2 CE). Así mismo, por medio de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22 de abril de 2004 la Sala Segunda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don Alvaro Arana Moro presentó escrito en este Tribunal, registrado el 3 de mayo de 2004, en el que formula sus alegaciones en relación con el incidente de suspensión, aduciendo que la ejecución de la resolución judicial impugnada en amparo ocasionaría al menor cuya guarda y custodia está en litigio un daño irreparable, ya que actualmente se encuentra con su madre, que está influyendo sobre el menor para el repudio de su padre, menor al que, además, se le separa de la convivencia del resto de los hermanos.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5 de mayo de 2004, tras hacer referencia a la excepcionalidad de la medida cautelar de suspensión, así como al criterio de no modificar el régimen de custodia actual del menor, interesa que se deniegue la suspensión solicitada, por no concurrir en el caso presente justificación para excepcionar la regla general de ejecución de resoluciones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comienza estableciendo la regla de que la suspensión de la ejecución del acto de los poderes públicos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hiciera perder al recurso de amparo su finalidad para que aquélla deba adoptarse necesariamente. El mismo art. 56.1 LOTC, después de establecer esta regla,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Por ello, con relación a los casos en que puedan resultar afectados los intereses de un menor, con arreglo a la doctrina de este Tribunal, "la ponderación de intereses en juego para decidir acerca del otorgamiento o denegación de la suspensión instada debe ser extremadamente cuidadosa y subordinada en todo caso a la protección jurídica de la persona y de los derechos de personalidad de los menores afectados", resultando "que la protección de los derechos e intereses de los menores queda de momento mejor garantizada por el mantenimiento y la no alteración de su ámbito afectivo y de convivencia actual durante la tramitación del recurso de amparo", ya que los sucesivos cambios de su entorno afectivo y de convivencia podrían causarles graves perjuicios en su personalidad en formación (AATC 21/2002, de 25 de febrero, FJ 3; 148/2002, de 23 de julio, FJ 3 y 273/2003, de 22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Teniendo en cuenta lo dicho, en el caso que nos ocupa, y a los solos efectos del incidente de suspensión, hemos de observar que en la Sentencia de separación de mutuo acuerdo de los cónyuges de fecha 12 de febrero de 1999 se acordó que la atribución de la custodia de un hijo menor (J.S.R.)  correspondiera a la madre, régimen de guarda y custodia que permaneció en la Sentencia de divorcio de 23 de noviembre de 2000, pero que fue alterado por Auto de 28 de diciembre de 2001 del Juzgado de Primera Instancia e Instrucción núm. 1 de Santa Cruz al apreciar un cambio de circunstancias que aconsejaba atribuir la guarda y custodia del menor al padre, aunque posteriormente fue restaurado en apelación por Auto de la Audiencia Provincial de Santa Cruz de Tenerife (Sección Primera) de 23 de septiembre de 2002. De donde resulta que, salvo el lapso de tiempo comprendido entre los días 4 de enero y 3 de diciembre de 2002 en los cuales el hijo menor (J.S.R.)  estuvo bajo la guarda y custodia del padre como consecuencia de la ejecución del Auto de 28 de diciembre de 2001, durante el resto del tiempo comprendido entre la Sentencia de divorcio -e incluso la de separación- y esta decisión cautelar ha estado sujeto a la guarda y custodia de la madre; y, sobre todo, esta situación de atribución maternal, como consecuencia de la ejecución de la resolución impugnada en amparo, es la existente en el momento de resolver sobre la solicitud de suspensión, por lo que, conforme a la doctrina expresada, debe ser mantenida, dado que la salvaguarda de los derechos e intereses del menor queda de momento mejor garantizada por el mantenimiento y la no alteración de su ámbito afectivo y de convivencia actual durante la tramitación del recurso de amparo, ya que los sucesivos cambios en dicho ámbito podrían causarle graves perjuicios en su personalidad en formación (como justifica la resolución impugnada en amparo, cuya tesis comparte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en consecuencia, denegar la suspensión solicitada, si bien, en atención a la importancia de los valores e intereses en juego, también es procedente acordar que este recurso de amparo se resuelva en el plazo más breve posible, incluso anteponiéndolo en el orden de los señalamientos, una vez concluida su tramitación (AATC 144/1990, de 29 de marzo; 169/1995, de 5 de junio; 246/1996, de 16 de septiembre; 272/2001, de 29 de octubre; 21/2002, de 25 de febrero y 148/2002, de 23 de julio).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