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1952-2003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 de abril de 2003 la Procuradora de los Tribunales doña Blanca Berriatúa Horta, en nombre de doña María Eugenia García Chazarra, formuló demanda de amparo constitucional contra la Sentencia de 5 de marzo de 2003 dictada por la Audiencia Provincial de Alicante (sede en Elche) en recurso de apelación contra Sentencia dictada por el Juzgado de Instrucción núm. 6 de Torrevieja en juicio de faltas núm. 52-2003.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 Como consecuencia de la denuncia formulada por dos policías locales se siguió juicio de faltas contra la demandante de amparo y su hermano. Celebrado el juicio oral el Juez de Instrucción condenó al hermano de la demandante como autor de una falta continuada de desobediencia a agentes de la autoridad y absolvió a la demandante de amparo por entender que su conducta no podía ser calificada de desobediencia, sino de coacciones. Ahora bien, no habiéndose formulado acusación por falta de coacciones, y no existiendo homogeneidad entre las infracciones penales, procedía la absolución por aplicación del principio acusatorio, que también rige en el juicio de faltas. La Sentencia fue apelada por el hermano de la demandante (en cuanto a su condena) y por los dos policías locales en lo relativo de la absolución de la demandante de amparo, respecto de la cual solicitaron que fuera condenada como autora de una falta de coacciones asumiendo la calificación jurídica efectuada por el Juez de Instrucción. El Juzgado dio traslado a las demás partes de los escritos de apelación y se formularon los correlativos escritos de impugnación. Cuando se dio traslado de los recursos formulados al Ministerio público éste interesó la desestimación del recurso de apelación deducido por el hermano, pero, en cambio, se adhirió al recurso de apelación de los policías locales y solicitó la condena de la demandante como autora de una falta de desobediencia (art. 634 CC) en los mismos términos en que había sido condenado el hermano. Sin dar traslado de este escrito a ninguna de las partes se remitieron los autos a la Audiencia, la cual, sin celebrar vista, dictó Sentencia condenando a la demandante por una falta de desobediencia a agentes de la autoridad, tal como había interesado el Fiscal, imponiendo una pena de veinte días a razón de seis euros diarios.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queja sustancial que fundamenta la demanda de amparo se puede sintetizar en la posición de indefensión en que se colocó a la demandante de amparo cuando fue condenada merced a un recurso de apelación adhesivo del Ministerio público del que no tuvo conocimiento, lo que le impidió contradecir la acusación que se formulaba en la segunda instancia y vulneró su derecho a conocer la acusación y a un juicio con todas las garantías (art. 24 CE). Por otrosí se solicita la suspensión de la ejecución de la Sentencia aduciendo que, aun cuando la pena impuesta es pecuniaria y de una cuantía no muy elevada, la ejecución sí tendría “los consiguientes efectos dentro del ámbito administrativo municipal, en orden al puesto representativo que ocupa” la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tres de junio de 2004, la Sala, tras admitir a trámite el presente recurso de amparo, acordó formar la oportuna pieza para la tramitación del incidente sobre suspensión y, conforme determina el art. 56 de la Ley Orgánica de este Tribunal, conceder un plazo de tres días a la parte recurrente y al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demandante de amparo formuló alegaciones el 14 de junio de 2004, reiterando la solicitud de suspensión de la ejecución y razonando a tal efecto que, aun cuando la pena impuesta sea de multa, su ejecución supone un descrédito para su persona si se tiene en cuenta que ostentó el cargo de Concejal del Ayuntamiento en la anterior legislatura.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público, mediante escrito registrado el 16 de junio de 2004, mostró su parecer contrario a la suspensión. Tras recoger la doctrina constitucional aplicable al caso razona que, al tratarse de una pena económica fácilmente reparable en el supuesto de estimarse el amparo, no es procedente la suspensión, sin que pueda atenderse a tal efecto al aducido daño moral que ocasionaría a la demandante la condena en relación al cargo político que ostentaba.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  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las anteriores consideraciones conducen a denegar la suspensión de la pena de multa impuesta, pues la escasa cuantía de la misma (treinta días de arresto a razón de seis euros diarios) no permite separarse del criterio general contrario a la suspensión de este tipo de pronunciamientos judiciales, como tampoco el aducido descrédito que en su consideración pública pudiera tener la condena impuesta, pues, además de no ser tal alegación atendible, dicho descrédito derivaría del hecho mismo de la condena y no del cumplimiento de la pena pecuniaria impuesta.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