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Segunda de la Audiencia Provincial de Albacete de 2 de febrero de 2004 exclusivamente en lo referente a la pena privativa de libertad; a la accesoria de inhabilitación especial del derecho</w:t>
            </w:r>
          </w:p>
          <w:p w:rsidRPr="00D13423" w:rsidR="00AD51A7" w:rsidRDefault="00AD51A7">
            <w:pPr>
              <w:rPr/>
            </w:pPr>
            <w:r w:rsidRPr="&lt;w:rPr xmlns:w=&quot;http://schemas.openxmlformats.org/wordprocessingml/2006/main&quot;&gt;&lt;w:color w:val=&quot;800080&quot; /&gt;&lt;w:szCs w:val=&quot;24&quot; /&gt;&lt;/w:rPr&gt;">
              <w:rPr/>
              <w:t xml:space="preserve">de sufragio pasivo durante el tiempo de la condena; así como, en su caso, a la privación de libertad subsidiaria por impago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marzo de 2004 la Procuradora de los Tribunales doña Laura Lozano Montalvo, en nombre y representación de don Antonio Tebar Fernández, que actúa asistido por el Abogado don Juan Luis Viñas Picazo, interpuso recurso de amparo contra la Sentencia de la Sección Segunda de la Audiencia Provincial de Albacete de 2 de febrero de 2004, por la que se estimó el recurso de apelación contra la Sentencia absolutoria del Juzgado de lo Penal núm. 2 de Albacete de 7 de octubre de 2003, condenando al recurrente como autor de un delito de malversación impropia de caudales públicos del artículo 435.3 CP, en relación con el art. 432 del mismo cuerpo legal, a las penas de doce meses de prisión, multa de dos meses, con cuota diaria de seis euros, responsabilidad subsidiaria en caso de impago de un día de arresto por cada dos cuotas, inhabilitación especial del derecho de sufragio pasivo durante el tiempo de la condena; a indemnizar a la querellante en 1.322,23 euros, con los intereses legales del art. 576 de la Ley procesal;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a) El recurrente fue absuelto por Sentencia del Juzgado de lo Penal núm. 2 de Albacete de 7 de octubre de 2003 del delito de malversación de bienes embargados del que era acusado, al considerar que no había quedado suficientemente acreditado que hubiese sido nombrado depositario de los bienes embargados a la entidad de la que era representante legal. b) La acusación particular interpuso recurso de apelación, que, sin celebración de vista en la segunda instancia, fue estimado por Sentencia de la Sección Segunda de la Audiencia Provincial de Albacete de 2 de febrero de 2004, condenando al recurrente como autor de un delito de malversación impropia de caudales públicos a las penas de doce meses de prisión, multa de dos meses, con cuota diaria de seis euros, responsabilidad subsidiaria en caso de impago de un día de arresto por cada dos cuotas, inhabilitación especial del derecho de sufragio pasivo durante el tiempo de la condena, a indemnizar a la querellante en 1.322,23 euros, con los intereses legales del art. 576 de la Ley procesal y al pago de las costas procesales, al considerar que había quedado acreditado, y así se incluyó en nueva redacción de hechos probados, que el recurrente había sido designado depositario de los bienes embargados de la empresa de que era representante legal, haciéndole saber la obligación de conservarlos, custodiarlos y tenerlos a disposición del Juzgado, lo que, a pesar de ser aceptado, desatendió, dando lugar a la desaparición de dichos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en su demanda de amparo la vulneración del derecho a la presunción de inocencia (art. 24.2 CE), al haber sido condenado en segundas instancia, tras una absolución previa, en virtud de pruebas practicadas sin la debida inmediación ante el órgano judicial de apelación. Mediante otrosí se solicita la suspensión de la ejecución de la Sentencia, habida cuenta de que su ejecución haría perder la finalidad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sendas providencias de 22 de julio de 2004, acordó, respectivamente, la admisión a trámite de la demanda de amparo y la formación de pieza separada para la tramitación del incidente sobre la suspensión solicitada, concediendo al recurrente y al Ministerio Fiscal el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efectuó sus alegaciones mediante escrito registrado el 29 de julio de 2004, insistiendo en que la no suspensión le causaría un perjuicio irreparable, perdiendo toda efectividad el recurso de amparo. El Fiscal ante el Tribunal Constitucional evacuó el trámite conferido mediante escrito registrado el 2 de agosto de 2004, considerando que procedería acordar la suspensión en lo relativo a la pena principal de prisión y su accesoria de inhabilitación, que debe seguir a la anterior, ya que se trata de una pena de corta duración, el perjuicio causado por el delito ha sido exclusivamente patrimonial y el recurrente carece de antecedentes penales. En relación con el pago de la multa, la indemnización y las costas, por su carácter económico y susceptibilidad de reparación, considera no deben ser suspendidas.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  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entendido por perjuicio irreparable aquél que provoque que el restablecimiento del recurrente en el derecho constitucional vulnerado sea tardío e impida su efectiva restauración (por todos, AATC 238/2004, de 28 de junio, FJ 2 o 211/2004, de 2 de junio, FJ 1).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se ha elaborado señala que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238/2004, de 28 de junio, FJ 2; 211/2004, de 2 de junio, FJ 3; 184/2004, de 19 de mayo, FJ 3 o 163/2004, de 10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que es de doce meses,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67/2004, de 26 de febrero, FJ 2).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(ATC 168/2004, de 10 de mayo, FJ 3).  Igualmente procede la suspensión de la pena accesoria de inhabilitación especial del derecho de sufragio pasivo, pues, como recuerda el Ministerio Fiscal, conforme a nuestra Jurisprudencia las penas accesorias han de seguir, en principio, la misma suerte que la principal (por todos, ATC 211/2004, de 2 de junio, FJ 3; 184/2004, de 19 de mayo, FJ 4 y 183/2004, de 19 de mayo, FJ 3).  No procede, por el contrario,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(AATC 211/2004, de 2 de junio, FJ 2; 184/2004, de 19 de mayo, FJ 5 y las numerosas resoluciones allí citadas); ello es aplicable a la multa, las costas e indemnizaciones.  Sin embargo de lo anterior debe excepcionarse la privación de libertad subsidaria para el caso de impago de la multa, pues en los supuestos, como el presente, en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 (AATC 184/2004, de 19 de mayo, FJ 5; 183/2004, de 19 de mayo, FJ 3 o 67/2004, de 26 de febrero, FJ 2 ).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Segunda de la Audiencia Provincial de Albacete de 2 de febrero de 2004 exclusivamente en lo referente a la pena privativa de libertad; a la accesoria de inhabilitación especial del derecho</w:t>
      </w:r>
    </w:p>
    <w:p w:rsidRPr="" w:rsidR="00AD51A7" w:rsidRDefault="00AD51A7">
      <w:pPr>
        <w:rPr/>
      </w:pPr>
      <w:r w:rsidRPr="&lt;w:rPr xmlns:w=&quot;http://schemas.openxmlformats.org/wordprocessingml/2006/main&quot;&gt;&lt;w:szCs w:val=&quot;24&quot; /&gt;&lt;/w:rPr&gt;">
        <w:rPr/>
        <w:t xml:space="preserve">de sufragio pasivo durante el tiempo de la condena; así como, en su caso, a la privación de libertad subsidiaria por impago de la multa.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