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3154-2003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3154-2003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las resoluciones recurridas en 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14 de mayo de 2003, el Procurador de los Tribunales don Norberto Pablo Jerez Fernández, interpuso, en nombre de don Oscar Brañas Estévez, recurso de amparo contra la Sentencia de la Sala de lo Penal del Tribunal Supremo de 6 de noviembre de 2002 y contra el Auto de la misma de 25 de marzo de 2003 que desestimó la nulidad de actuaciones instada contra la anterior. La Sentencia de la Sala de lo Penal del Tribunal Supremo de 6 de noviembre de 2002 anuló la Sentencia del Tribunal Superior de Justicia de Cataluña de 26 de julio de 2001 y declaró la “efectividad, ejecutividad y firmeza” de la Sentencia de 27 de abril de 2001 de la Audiencia Provincial de Barcelona dictada en procedimiento ante Tribunal de Jurado 41-2000, en virtud de la cual el recurrente resultó condenado como autor de un delito de asesinato a la pena de diecisiete años de prisión, inhabilitación absoluta por el tiempo de la condena y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 los derechos a la tutela judicial efectiva sin indefensión, a la doble instancia, al proceso con todas las garantías, a la defensa (art. 24.1 y 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noviembre de 2004, la Sección Primera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29 de noviembre de 2004, el Ministerio Fiscal interesa la denegación de la suspensión solicitada de la pena privativa de libertad, atendida la gravedad de los hechos por los que fue condenado, y de la que es fiel reflejo la extensión de la pena impuesta, por lo que no rige el criterio del interés general en la ejecución de sentencias firmes. En consecuencia, tampoco procede la suspensión de la pena de inhabilitación absoluta, que sigue la suerte de la principal, ni tampoco de las costas procesales, dado su carácter pecuniario, fácilmente 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1 de diciembre de 2004, el Procurador de los Tribunales don Norberto Pablo Jerez Fernández, en nombre de don Oscar Brañas Estévez reiteró que la ejecución de la condena a pena privativa de libertad le ocasionaría un perjuicio irreparable por cuanto la pérdida de libertad personal no puede restituirse, mientras que la suspensión de la misma no supone una perturbación grave de los intereses generales ni crea alarma social, ni existen motivos que hagan suponer que se sustraerá a la acción de la Justicia.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en la Ley Orgánica del Tribunal Constitucional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en relación con la pena privativa de libertad impuesta, la inhabilitación absoluta y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y 275/1990, 117/1999, por todos). Esta doctrina es igualmente aplicable a la condena en costas procesales, pues al entrañar un pago en dinero, su ejecución no provoca ningún perjuicio que pueda hacer inútil el recurso de amparo (AATC 244/1991 y 2092/1992, 267/1995, 117/1999, entre otros muchos).</w:t>
      </w:r>
    </w:p>
    <w:p w:rsidRPr="00C21FFE" w:rsidR="00AD51A7" w:rsidRDefault="00AD51A7">
      <w:pPr>
        <w:rPr/>
      </w:pPr>
      <w:r w:rsidRPr="&lt;w:rPr xmlns:w=&quot;http://schemas.openxmlformats.org/wordprocessingml/2006/main&quot;&gt;&lt;w:lang w:val=&quot;es-ES_tradnl&quot; /&gt;&lt;/w:rPr&gt;">
        <w:rPr/>
        <w:t xml:space="preserve">Por consiguiente, en atención al carácter excepcional de la suspensión (art. 56 LOTC), ha de denegarse la suspensión de las resoluciones impugnadas en relación con la condena en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las penas privativas de libertad este Tribunal tiene establecido (entre muchos, AATC 270/2002, 140/2004)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420/1997; 49/1998;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w:t>
      </w:r>
    </w:p>
    <w:p w:rsidRPr="00C21FFE" w:rsidR="00AD51A7" w:rsidRDefault="00AD51A7">
      <w:pPr>
        <w:rPr/>
      </w:pPr>
      <w:r w:rsidRPr="&lt;w:rPr xmlns:w=&quot;http://schemas.openxmlformats.org/wordprocessingml/2006/main&quot;&gt;&lt;w:lang w:val=&quot;es-ES_tradnl&quot; /&gt;&lt;/w:rPr&gt;">
        <w:rPr/>
        <w:t xml:space="preserve">En aplicación de dichos criterios, como recordábamos recientemente (ATC 140/2004)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w:t>
      </w:r>
    </w:p>
    <w:p w:rsidRPr="00C21FFE" w:rsidR="00AD51A7" w:rsidRDefault="00AD51A7">
      <w:pPr>
        <w:rPr/>
      </w:pPr>
      <w:r w:rsidRPr="&lt;w:rPr xmlns:w=&quot;http://schemas.openxmlformats.org/wordprocessingml/2006/main&quot;&gt;&lt;w:lang w:val=&quot;es-ES_tradnl&quot; /&gt;&lt;/w:rPr&gt;">
        <w:rPr/>
        <w:t xml:space="preserve">En el caso, como señala el Ministerio Fiscal, en ausencia de otros datos, la magnitud de la pena impuesta –diecisiete años de prisión- es significativa de la gravedad del hecho y de la reprobación que el ordenamiento asigna al mismo, y, por consiguiente, de la magnitud del interés general en la ejecución de la resolución. De otra parte, dada la previsible duración de este proceso de amparo y teniendo en cuenta la pena que le resta por cumplir no es previsible que el amparo pierda su finalidad.</w:t>
      </w:r>
    </w:p>
    <w:p w:rsidRPr="00C21FFE" w:rsidR="00AD51A7" w:rsidRDefault="00AD51A7">
      <w:pPr>
        <w:rPr/>
      </w:pPr>
      <w:r w:rsidRPr="&lt;w:rPr xmlns:w=&quot;http://schemas.openxmlformats.org/wordprocessingml/2006/main&quot;&gt;&lt;w:lang w:val=&quot;es-ES_tradnl&quot; /&gt;&lt;/w:rPr&gt;">
        <w:rPr/>
        <w:t xml:space="preserve">Igual suerte ha de correr la pena de inhabilitación absoluta impuesta, pues, de conformidad con la jurisprudencia constitucional, las penas accesorias siguen la suerte de la principal (entre muchos, AATC 144/1984, 267/1995, 22/2002, 140/2004).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las resoluciones recurridas en 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