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5494-2004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5494-2004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suspensión de la ejecución de las Sentencias de la Sección Sexta de la Audiencia Provincial de Madrid de fecha 13 de julio de 2004, y del Juzgado de lo Penal núm. 20 de Madrid, de fecha 30 de marzo de 2004, en lo relativo a la pena de privación del</w:t>
            </w:r>
          </w:p>
          <w:p w:rsidRPr="00D13423" w:rsidR="00AD51A7" w:rsidRDefault="00AD51A7">
            <w:pPr>
              <w:rPr/>
            </w:pPr>
            <w:r w:rsidRPr="&lt;w:rPr xmlns:w=&quot;http://schemas.openxmlformats.org/wordprocessingml/2006/main&quot;&gt;&lt;w:color w:val=&quot;800080&quot; /&gt;&lt;w:szCs w:val=&quot;24&quot; /&gt;&lt;/w:rPr&gt;">
              <w:rPr/>
              <w:t xml:space="preserve">derecho a conducir vehículos de motor y ciclomotores y denegar la suspensión de las mismas en cuanto al resto de sus pronunciamientos.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13 de septiembre de 2004, el Procurador de los Tribunales don Luis Gómez López-Linares, en nombre de don Pascual Menéndez Llorente, formuló demanda de amparo contra la Sentencia de la Sección Sexta de la Audiencia Provincial de Madrid, de fecha 13 de julio de 2004, dictada en el rollo de apelación núm. 208-2004, dimanante del Juzgado de lo Penal núm. 20 de dicha ciudad, revocatoria de la Sentencia dictada en fecha 30 de marzo de 2004 por el referido Juzgado de lo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demandante fue absuelto por el Juzgado de lo Penal núm. 20 de los de Madrid, en Sentencia de fecha 30 de marzo de 2004, de un delito contra la seguridad del tráfico. La Sentencia declaró probado que el demandante conducía un vehículo y, al atravesar una calle, superó un cruce cuando el semáforo cambiaba a fase roja. La maniobra fue observada por agentes de la policía local y, como el conductor oliera a alcohol, fue sometido a la prueba de alcoholemia, dando un resultado positivo de 0,80 mg/l en aire espirado. </w:t>
      </w:r>
    </w:p>
    <w:p w:rsidRPr="00C21FFE" w:rsidR="00AD51A7" w:rsidRDefault="00AD51A7">
      <w:pPr>
        <w:rPr/>
      </w:pPr>
      <w:r w:rsidRPr="&lt;w:rPr xmlns:w=&quot;http://schemas.openxmlformats.org/wordprocessingml/2006/main&quot;&gt;&lt;w:lang w:val=&quot;es-ES_tradnl&quot; /&gt;&lt;/w:rPr&gt;">
        <w:rPr/>
        <w:t xml:space="preserve">b) Interpuesto recurso de apelación por el Ministerio Fiscal, la Sección Sexta de la Audiencia Provincial de Madrid dictó Sentencia, de fecha 13 de julio de 2004, estimándolo, revocando la Sentencia de primera instancia y condenando al demandante, como autor de un delito contra la seguridad del tráfico a la pena de tres meses de multa con una cuota diaria de cuatro euros, cantidad resultante de 360 euros, quedando el acusado sujeto a responsabilidad personal subsidiaria de un día de privación de libertad por cada dos cuotas diarias no satisfechas que podrán cumplirse en régimen de fin de semana, así como a la pena de privación del derecho a conducir vehículos a motor por tiempo de un año y un día. La Sentencia declaró probado que el demandante conducía un vehículo en indebidas condiciones debido a la ingesta precedente de bebidas alcohólicas, lo que motivó que al atravesar una calle, superó un cruce cuando el semáforo estaba en fase roja. La maniobra fue observada por agentes de la policía local y como el conductor oliera a alcohol y presentara una deambulación vacilante, además de otros síntomas de ingesta de bebidas alcohólicas, fue sometido a la prueba de alcoholemia, dando un resultado positivo de 0,80 mg/l en aire espirado.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considera vulnerado el derecho a un proceso con todas las garantías (art. 24.2 CE), al revocar el órgano judicial ad quem la Sentencia absolutoria dictada en instancia sobre la base de una distinta valoración de las pruebas personales (testifical) practicadas ante el Juez a quo pero sin haber celebrado vista. Por su parte, solicitó la suspensión de la ejecución de la Sentencia impugnada habida cuenta que la misma, dada la circunstancia de que el demandante desempeña la profesión de conductor, le supondría la pérdida de su puesto de trabajo, que haría perder al amparo su finalidad, y sin que exista, por otro lado, la posibilidad de que dicha suspensión pueda suponer una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sendas providencias de fecha 25 de abril de 2005, la Sección, tras admitir a trámite el presente recurso de amparo, acordó formar la oportuna pieza para la tramitación del incidente sobre suspensión y, conforme determina el art. 56 de la Ley Orgánica de este Tribunal, conceder un plazo de tres días al Fiscal y a las partes personadas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público, mediante escrito registrado el 6 de mayo de 2005 tras recoger la doctrina constitucional en materia de suspensión, alega que la pena de privación del derecho a conducir vehículos de motor de un año y un día de duración, pena pues de inhabilitación, debe en este caso suspenderse, pues de la lectura de la Sentencia dictada en instancia fluye que el solicitante tiene como profesión el transporte de mercancías, por lo que la ejecución de dicha pena podría suponer la pérdida de su puesto de trabajo, esto es, la resolución afecta a un derecho del solicitante de muy difícil restitución, lo que provoca que de no accederse a su suspensión se tornarían en ilusorios los efectos del eventual otorgamiento del amparo, sin que por lo demás se constate que tal suspensión comporte perturbación grave de los intereses generales o de los derechos fundamentales o libertades públicas de un tercero. Por lo que respecta a la pena de multa y al pago de las costas procesales, dado su carácter pecuniario, no deben ser suspendidas al no ocasionar al recurrente su ejecución ningún perjuicio irreparable, al ser susceptible de restitución íntegra, en caso de acogerse su demanda, debiendo añadirse la escasa cuantía de la pena de multa impuesta, y la afirmación contenida en la Sentencia cuestionada de que se ha fijado teniendo en cuenta su situación económica y que posee un trabajo remunerado, y que el demandante, en su solicitud de suspensión, pese a solicitar la suspensión íntegra de la ejecución de la Sentencia, sólo afirma la irreparabilidad del perjuicio en lo atinente a la pena de privación del derecho a conducir vehículos de motor. Por último, la responsabilidad personal subsidiaria por impago de la multa es, de momento, una mera eventualidad, por la que no debe ser suspendida, sin perjuicio del derecho del demandante a solicitar ulteriormente su suspensión si la misma llega a materializarse.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don Pascual Menéndez Llorente, mediante escrito registrado ante este Tribunal en fecha 6 de mayo de 2005, se reiteró en su solicitud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hemos venido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Conforme al citado criterio interpretativo, hemos dicho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hemos venido distinguiendo entre aquellas decisiones judiciales cuya efectividad no impide devolver las cosas al ser y estado en que se hallaban antes de la ejecución y que admiten, por tanto, una posterior restitutio in integrum, y aquellas otras decisiones judiciales en las que la suspensión está justificada por afectar a bienes o derechos de imposible restitución a su estado anterior. Así, por ejemplo,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574/1985 ó 275/1990).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y 52/1989, entre otros), hemos accedido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y 275/1990, 117/1999, 106/2002, 313/2003, por todos). Esta doctrina es igualmente aplicable a la condena en costas procesales, pues al entrañar un pago en dinero, su ejecución no provoca ningún perjuicio que pueda hacer inútil el recurso de amparo (AATC 244/1991 y 2092/1992, 267/1995, 117/1999, entre otros muchos). Por consiguiente, en atención al carácter excepcional de la suspensión (art. 56 LOTC), ha de denegarse la suspensión de las resoluciones impugnadas en relación con las penas de multa impuestas y la condena en costas procesales.</w:t>
      </w:r>
    </w:p>
    <w:p w:rsidRPr="00C21FFE" w:rsidR="00AD51A7" w:rsidRDefault="00AD51A7">
      <w:pPr>
        <w:rPr/>
      </w:pPr>
      <w:r w:rsidRPr="&lt;w:rPr xmlns:w=&quot;http://schemas.openxmlformats.org/wordprocessingml/2006/main&quot;&gt;&lt;w:lang w:val=&quot;es-ES_tradnl&quot; /&gt;&lt;/w:rPr&gt;">
        <w:rPr/>
        <w:t xml:space="preserve">Tampoco ha de suspenderse en este momento la responsabilidad personal subsidiaria para el caso de impago de la multa, dado que se trata de una eventualidad incierta, que depende de que, efectivamente, la multa no llegue a ser abonada voluntariamente o por la vía de apremio y, en cualquier caso, de una eventualidad futura, que, en caso de sobrevenir, podría dar lugar a la modificación de la medida cautelar que ahora se adopta, en virtud del art. 57 LOTC (AATC 136/1999; 48/2003).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ha de acordarse la suspensión de la ejecución de la pena de privación del permiso de conducir, dada la concurrencia de las circunstancias laborales alegadas, pues la corta duración de la pena impuesta haría perder al amparo su finalidad, caso de no accederse a la suspensión interesada (AATC 136/1996, de 27 de marzo, FJ 2; 55/1998, de 2 de marzo, FJ 3; 62/2002, de 22 de abril, FJ 3; y 313/2003, de 29 de septiembre, FJ 3), sin que, dada la escasa gravedad del hecho en atención a la gravedad de la pena impuesta, se observen graves perjuicios de los intereses generales o derechos de terceros.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atención a lo expuesto, la Sala acuerda: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suspensión de la ejecución de las Sentencias de la Sección Sexta de la Audiencia Provincial de Madrid de fecha 13 de julio de 2004, y del Juzgado de lo Penal núm. 20 de Madrid, de fecha 30 de marzo de 2004, en lo relativo a la pena de privación del</w:t>
      </w:r>
    </w:p>
    <w:p w:rsidRPr="" w:rsidR="00AD51A7" w:rsidRDefault="00AD51A7">
      <w:pPr>
        <w:rPr/>
      </w:pPr>
      <w:r w:rsidRPr="&lt;w:rPr xmlns:w=&quot;http://schemas.openxmlformats.org/wordprocessingml/2006/main&quot;&gt;&lt;w:szCs w:val=&quot;24&quot; /&gt;&lt;/w:rPr&gt;">
        <w:rPr/>
        <w:t xml:space="preserve">derecho a conducir vehículos de motor y ciclomotores y denegar la suspensión de las mismas en cuanto al resto de sus pronunciamientos.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seis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