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6137-2003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6137-2003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solicitada en lo que a la pena privativa de libertad, a las penas de multa y a la pena de inhabilitación especial para profesión u oficio se refiere, y no suspender la de inhabilitación especial para empleo o cargo público.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15 de octubre de 2003, la Procuradora de los Tribunales doña Isabel Juliá Corujo, en nombre y representación de don Cipriano Fluixá Castelló, interpuso recurso de amparo contra la Sentencia de la Sala Segunda del Tribunal Supremo de 25 de septiembre de 2003, por la que se casó la Sentencia absolutoria dictada por la Sección Segunda de la Audiencia Provincial de Valencia con fecha de 13 de julio de 2002, en procedimiento seguido contra el actor por delitos de prevaricación y contra el medio ambiente, dictándose otra Sentencia, en la que se impusieron las siguientes penas: 24 meses de multa, a razón de una cuota diria por importe de 50.000 pesetas e inhabilitación especial para empleo o cargo público por tiempo de ocho años, por el primero de dichos delitos; y a las penas de un año de prisión , multa de veinticuatro meses, con idéntica cuota diaria , e inhabilitación especial para profesión u oficio por tiempo de dos años, por el segundo.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20 de diciembre de 2005,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de alegaciones mediante escrito registrado en este Tribunal con fecha de 27 de diciembre de 2005 en el que, de conformidad con la reiterada doctrina dictada al respecto por este Tribunal, consideraba procedente la suspensión, exclusivamente, de la ejecución de la pena privativa de libertad impuesta al demandante de amparo, dada la corta duración de la misma. En cuanto a las penas de inhabilitación para cargo público por tiempo de ocho años y de inhabilitación especial para el desempeño de profesión u oficio por tiempo de dos años, entiende el Ministerio Fiscal que al no tratarse en este caso de penas accesorias que hubieran de seguir la suerte de la principal, sino de penas establecidas como principales por los tipos penales aplicados, ha de seguirse el criterio general relativo a la duración de las mismas acordándose únicamente la suspensión de la ejecución de la mencionada en segundo lugar, dado que su corta duración podría ocasionar que, caso de concederse, el amparo hubiese perdido su objeto ocasionándose al recurrente un perjuicio irreparable. Finalmente, a juicio del Ministerio Fiscal no procede la suspensión de la ejecución del resto de los pronunciamientos contenidos en la sentencia dado que, al ser de contenido económico, su no suspensión no ocasionaría perjuicios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por su parte, evacuó idéntico trámite mediante escrito de fecha 28 de diciembre de 2005 en el que solicitaba la suspensión de la ejecución de todas las penas impuestas al demandante de amparo en atención a las siguientes razones: 1) la de la pena de prisión, por motivo de su corta duración (un año)que haría perder al amparo su finalidad; 2) la de las penas de multa, por razón de que la incidencia de su ejecución en el patrimonio del actor sería desproporcionada dado su montante (72 millones de pesetas) e irreversible el perjuicio que con ello se le ocasionaría ya que su nómina mensual como ATS asciende a 1.574,65 euros, con el añadido de una pequeña retribución por turnos de guardia (según se acredita por la aportación de las nóminas de junio y octubre de 2005), lo que hace imposible el pago, siquiera sea parcial, de las mencionadas multas -por lo demás impuestas sin consideración alguna a la previsión legal establecida en el art.53 CP y, en consecuencia, contra legem- y podría determinar su ingreso en prisión por impago de las referidas multas (se citan a este respecto los AATC 88/1997, de 17 de marzo y 378/1997, de 24 de noviembre); y 3) la de las penas de inhabilitación, por cuanto su ejecución comporta una evidente afección al derecho del demandante de amparo al honor, siendo además la de inhabilitación especial de tan corta duración (dos años) que, previsiblemente, de no suspenderse su ejecución el amparo, caso de concederse, habría perdido ya su finalidad respecto de la misma al haberse cumplido en su integridad.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en primer lugar, a acordar la suspensión interesada en lo relativo a la pena privativa de libertad dado que, de no suspenderse, podría ocasionarse al demandante de amparo un perjuicio irreparable toda vez que, como ya hemos declarado en anteriores ocasiones (por todas: AATC 269/1998, de 26 de noviembre y 84/2002, de 20 de mayo), estando comprendida la duración de la condena a pena de prisión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suspensión de la pena privativa de libertad no conlleva en este caso automáticamente la suspensión de las penas de inhabilitación para cargo público y para profesión u oficio, asimismo impuestas al demandante de amparo por la Sentencia recurrida, ya que las mismas no tienen en este caso naturaleza de penas accesorias que según nuestra doctrina hubieran de seguir la suerte de la pena principal, sino que poseen carácter autónomo respecto de esta última. Habida cuenta de ello, procede únicamente la suspensión de la ejecución de la pena de inhabilitación especial para profesión u oficio por tiempo de dos años, dado que su corta duración podría determinar que el amparo solicitado, caso de concederse, hubiera perdido todo efecto útil respecto de la misma. No procede, en cambio, la suspensión de la pena de inhabilitación para todo cargo público por tiempo de ocho años, toda vez que el demandante de amparo cesó en su condición de Alcalde Presidente de la Corporación municipal de Xeresa (Valencia) con fecha de 28 de enero de 2005, esto es, bastante tiempo antes de haber recaído contra él la Sentencia condenatoria dictada por la Sala Segunda del Tribunal Supremo con fecha de 25 de septiembre de 2005 y sin que conste la existencia de conexión entre dicho cese y la ejecución de la indicada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Especial consideración merece, finalmente, la solicitud de suspensión de la ejecución de las penas de multa impuestas al recurrente por un montante singularmente elevado y sin consideración a su situación patrimonial ya que, tanto la elevada cuantía de las mismas como el resto de las circunstancias concurrentes alegadas, nos conducen excepcionalmente, en este caso, a adoptar una decisión favorable a la suspensión de su ejecución. En efecto las alegaciones presentadas y los sustratos documentales aportados permiten entender que el demandante de amparo ha fundamentado en forma razonable los motivos por los que considera que la no suspensión del pago de las dos penas de multa que le fueron impuestas por la Sentencia recurrida le ocasionaría un perjuicio patrimonial irreparable que haría perder su finalidad al amparo solicitado caso de que eventualmente le fuera concedido (vid., en sentido similar, el ATC 407/2004, de 2 de noviembre). Esa misma excepcionalidad habrá de conducirnos en este caso a una pronta resolución del amparo a fin de no perjudicar el interés general en la pronta ejecución de las resoluciones judiciales. Todo ello sin perjuicio de que por los órganos judiciales competentes se adopten las medidas que se estimen pertinentes para asegurar las obligaciones a las que tendría que hacer frente el recurrente en el caso de que no se le otorgara el amparo que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solicitada en lo que a la pena privativa de libertad, a las penas de multa y a la pena de inhabilitación especial para profesión u oficio se refiere, y no suspender la de inhabilitación especial para empleo o cargo público.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