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judiciales recurridas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enero de 2006 la Procuradora de los Tribunales doña María del Mar Gómez Rodríguez, en nombre y representación de don Fernando Emilio Maximino Blat, presentó en el Registro General de este Tribunal demanda de amparo contra la providencia de 7 de octubre de 2005 y el Auto de 29 de noviembre de 2005, dictados por la Sala de lo Penal del Tribunal Supremo en el recurso de casación núm. 2-964-2005, por los que se acuerda no haber lugar a conferir a la representación procesal del recurrente plazo para formalizar el recurso de casación contra la Sentencia dictada el 25 de abril de 2005 por la Sección Tercera de la Sala de lo Penal de la Audiencia Nacional en rollo de Sala núm. 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(junto a otras personas) por Sentencia de 25 de abril de 2005 de la Sección Tercera de la Sala de lo Penal de la Audiencia Nacional (rollo de Sala núm. 2-2003), como autor de un delito contra la salud pública, a la pena de nueve años de prisión, accesorias, multa de 62.000.000 de euros y costas. </w:t>
      </w:r>
    </w:p>
    <w:p w:rsidRPr="00C21FFE" w:rsidR="00AD51A7" w:rsidRDefault="00AD51A7">
      <w:pPr>
        <w:rPr/>
      </w:pPr>
      <w:r w:rsidRPr="&lt;w:rPr xmlns:w=&quot;http://schemas.openxmlformats.org/wordprocessingml/2006/main&quot;&gt;&lt;w:lang w:val=&quot;es-ES_tradnl&quot; /&gt;&lt;/w:rPr&gt;">
        <w:rPr/>
        <w:t xml:space="preserve">b) El recurrente anunció su intención de formalizar recurso de casación ante el Tribunal Supremo y, por Auto de 6 de septiembre de 2005, notificado a la representación procesal del recurrente el siguiente 12 de septiembre, la Sección Tercera de la Sala de lo Penal de la Audiencia Nacional le emplazó para que en término improrrogable de quince días compareciera ante la Sala de lo Penal del Tribunal Supremo, lo que el recurrente verificó el 3 de octubre de 2005, mediante escrito en el que se hizo constar la personación y solicitó se le confiriera plazo para formalizar el recurso. </w:t>
      </w:r>
    </w:p>
    <w:p w:rsidRPr="00C21FFE" w:rsidR="00AD51A7" w:rsidRDefault="00AD51A7">
      <w:pPr>
        <w:rPr/>
      </w:pPr>
      <w:r w:rsidRPr="&lt;w:rPr xmlns:w=&quot;http://schemas.openxmlformats.org/wordprocessingml/2006/main&quot;&gt;&lt;w:lang w:val=&quot;es-ES_tradnl&quot; /&gt;&lt;/w:rPr&gt;">
        <w:rPr/>
        <w:t xml:space="preserve">c) Con fecha 7 de octubre de 2005 se dictó providencia por la Sala de lo Penal del Tribunal Supremo en la que, en lo que ahora interesa, se indica que, en cuanto a la petición contenida en el escrito de personación presentado por la representación procesal de don Fernando Emilio Maximino Blat, “no ha lugar a conferir plazo alguno para la formalización del recurso, toda vez que el mismo debe formalizarse, conforme ordena el art. 873 LECrim, dentro de los términos señalados en el art. 859 de la misma Ley procesal penal, acordándose, en resolución aparte, lo que proceda respecto del mismo”. Interpuesto recurso de súplica por la representación procesal de don Fernando Emilio Maximino Blat contra la anterior providencia, dicho recurso fue desestimado por Auto 29 de noviembre de 2005, razonándose que no ha lugar a conferir un plazo especial de formalización, pues no se está en el supuesto de que el Abogado que asume la defensa en casación sea de nueva designación y, por tanto, no conociera antes el contenido del procedimiento (que es precisamente lo ocurrido en los dos casos citados en el recurso de súplica), toda vez que en el presente caso ya venían designados Abogado y Procuradora desde el escrito de preparación, siendo los mismos profesionales que actuaron en el juicio oral ante el Tribunal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lesionado el derecho del recurrente a la tutela judicial efectiva (art. 24.1 CE), porque la decisión de no conferir plazo alguno para la formalización del recurso de casación resulta arbitraria e incurre en error patente, pues en otras ocasiones, como se puso de manifiesto en el recurso de súplica, la Sala de lo Penal del Tribunal Supremo ha considerado procedente otorgar plazo específico para formalizar recurso de casación una vez personado el recurrente ante la Sala, incluso cuando el Letrado actuante ante el Tribunal a quo era distinto del que posteriormente comparecía ante la Sala de lo Penal del Tribunal Supremo para formalizar el recurso de casación.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el demandante de amparo solicitó que se acordase la suspensión de la ejecución del Auto 29 de noviembre de 2005, porque de otro modo se le causaría un perjuicio irreparable, lo que haría perder al amparo su finalidad en caso de que fuera finalmente concedido, como ocurriría si se remite lo actuado a la Sección Tercera de la Sala de lo Penal de la Audiencia Nacional para la ejecución de la Sentencia dictada el 25 de abril de 2005 en el rollo de Sala núm. 2-2003 en lo que atañe a la condena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9 de abril de 2008 la Sección Segunda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16 de abril de 2008, interesando que se deniegue la suspensión solicitada. El Fiscal recuerda que, conforme a reiterada doctrina constitucional, no procede la suspensión de la ejecución de la resolución judicial ex art. 56 LOTC en los casos de pronunciamientos de condena a penas privativa de libertad de larga duración, que es justamente lo que sucede en el presente caso, habida cuenta la gravedad de la pena de prisión impuesta, muy superior a cinco años de privación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anterior a la establecida por la Ley Orgánica 6/2007, de 24 de mayo (que es la que, de acuerdo con lo previsto en su disposición transitoria tercera, resulta aplicable a los recursos de amparo interpuestos con anterioridad a su entrada en vigor),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y 106/2002, de 17 de junio).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163/2003, de 19 de mayo; y 37/2006,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consideraciones,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otros aspectos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duración y gravedad de la pena impuesta porque, con ciertos matices que no hacen ahora al caso, en ella se expresa la reprobación que el ordenamiento asigna al hecho delictivo y, por consiguiente, la magnitud del interés general en su ejecución (AATC 273/1998, de 14 de diciembre, FJ 2; 136/1999, de 31 de mayo, FJ 1; 199/1999, de 22 de julio, FJ 3; 116/2000, de 5 de mayo, FJ 3; 146/2001, de 4 de junio, FJ 3; 273/2002, de 18 de diciembre, FJ 1; 322/2003, de 13 de octubre, FJ 2; 25/2006, de de 30 de enero, FJ 2; y 418/2007, de 5 de noviembre, FJ 2, entre otros muchos). 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presente caso y atendidas las circunstancias concurrentes en el mismo, ha de denegarse la suspensión de las resoluciones judiciales dictadas por la Sala de lo Penal del Tribunal Supremo impugnadas en amparo, en cuanto las mismas pudieran haber dado lugar a la ejecución por el Tribunal sentenciador de la condena impuesta al recurrente. Dada la gravedad de los hechos enjuiciados y la larga duración de la condena de privación de libertad impuesta, nueve años de prisión, no procede suspender su ejecución. Como se ha afirmado anteriormente, aunque el criterio general de este Tribunal en el caso de penas privativas de libertad sea el otorgamiento de la suspensión, ya que el cumplimiento de la pena conlleva en sí mismo una pérdida, al menos parcial, de la finalidad de amparo, también se ha indicado que esta regla general no esta exenta de excepciones y una de estas excepciones es, precisamente, la gravedad y duración de la pena impuesta, ya que en el supuesto de que la pena sea de larga duración el interés general reclama con especial intensidad su ejecución. Esta conclusión se impone no sólo por el necesario mantenimiento de la confianza en la justicia penal y los efectos disuasorios que se derivan de la finalidad de prevención general de los delitos, sino también porque la duración de la pena cuantifica “el desvalor del comportamiento enjuiciado y el daño social producido, según la apreciación del Tribunal sentenciador, que nosotros no podemos revisar en este trámite” (AATC 199/1999, FJ 3, y 146/2001, FJ 3).</w:t>
      </w:r>
    </w:p>
    <w:p w:rsidRPr="00C21FFE" w:rsidR="00AD51A7" w:rsidRDefault="00AD51A7">
      <w:pPr>
        <w:rPr/>
      </w:pPr>
      <w:r w:rsidRPr="&lt;w:rPr xmlns:w=&quot;http://schemas.openxmlformats.org/wordprocessingml/2006/main&quot;&gt;&lt;w:lang w:val=&quot;es-ES_tradnl&quot; /&gt;&lt;/w:rPr&gt;">
        <w:rPr/>
        <w:t xml:space="preserve">Ello sin perjuicio de advertir que es procedente resolver en el más breve plazo posible el presente recurso de amparo, en cuanto sea compatible con la tramitación procesal, anteponiéndolo incluso en el orden de señalamientos, a fin de reducir en lo posible los efectos negativos que la ejecución de la condena de privación de libertad en tanto se sustancia el presente recurso en amparo podría acarrear al recurrente y para el caso de que el mismo fuera estimado (AATC 144/1990, de 29 de marzo; 169/1995, de 5 de junio; 385/1996, de 18 de diciembre; 146/2001, de 4 de junio; 334/2004, de 13 de septiembre; y 25/2006, de 30 de enero,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judiciales recurridas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