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364</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noviembre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6315-2005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13 de septiembre de 2005 el Procurador de los Tribunales don José Ignacio Norieba Arquer, en representación de don José Alfredo Fernández Rodajo, dedujo recurso de amparo frente a la Sentencia de la Audiencia Provincial de Oviedo de 7 de julio de 2005, desestimatoria del recurso de apelación por él interpuesto contra la Sentencia del Juez de lo Penal núm. 1 de Avilés de 11 de febrero de 2005 (juicio oral núm. 231-2004), en la que se condenó al demandante de amparo a una pena de diez días de multa como autor de una falta de lesiones con cuota de 10 euros diarios, así como a don Gabriel Suárez Alvarez a una pena de ocho meses de multa, con idéntica cuota mensual, como autor de un delito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sendas providencias de 30 de septiembre de 2008 la Sala Segunda de este Tribunal acordó admitir a trámite la demanda de amparo y formar pieza separada para la tramitación de la solicitud de suspensión formulada en la demanda, así como conceder al demandante y al Ministerio Fiscal un plazo de tres días para que alegaran lo que estimasen conveniente en relación con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público formuló alegaciones mediante escrito presentado el 16 de octubre de 2008, en el cual, tras recoger los antecedentes necesarios para la resolución de esta pieza separada y la doctrina constitucional en torno a la suspensión de las resoluciones judiciales que incorporan condenas de contenido patrimonial, interesa la desestimación de la solicitud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 la reciente reforma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la resolución judicial confirmada en apelación condenó al demandante a una pena de diez días de multa con cuota diaria de 10 euros, pronunciamiento de carácter económico fácilmente reversible en el supuesto de que el recurso de amparo fuera finalmente estimado. Consecuentemente el amparo no pierde su finalidad como consecuencia de la ejecución de la Sentencia, lo que conduce a denegar la suspensión solicitada.</w:t>
      </w:r>
    </w:p>
    <w:p w:rsidRPr="00C21FFE" w:rsidR="00AD51A7" w:rsidRDefault="00AD51A7">
      <w:pPr>
        <w:rPr/>
      </w:pPr>
      <w:r w:rsidRPr="&lt;w:rPr xmlns:w=&quot;http://schemas.openxmlformats.org/wordprocessingml/2006/main&quot;&gt;&lt;w:lang w:val=&quot;es-ES_tradnl&quot; /&gt;&lt;/w:rPr&gt;">
        <w:rPr/>
        <w:t xml:space="preserve">Por lo demás, a la vista de que en la demanda no se contiene razonamiento alguno en relación con la procedencia de suspensión que se interesa y de que no se formularon alegaciones complementarias en la pieza de suspensión, resulta procedente recordar con los ATC 319/2003, de 13 de octubre, FJ 2, y 36/2007, de 12 de febrero, FJ 2, que “la acreditación del perjuicio es carga del recurrente, quien debe precisar los concretos perjuicios que de la ejecución se deriven, así como justificar o argumentar razonadamente la irreparabilidad de los mismos (AATC 107/1981; 226/1982; 385/1983; y 193/1984). En todo caso, el perjuicio irreparable debe ser real, sin que sea posible alegar un perjuicio futuro o hipotético o un simple temor (AATC 490/1984; 399/1985; y 51/1989, entre otros muchos), y la pérdida de la finalidad del amparo no puede equipararse a la mayor o menor dificultad, molestia o incomodidad para el ciudadano, pues debe entenderse como perjuicio irreparable ‘aquel que provoque que el restablecimiento del recurrente en el derecho constitucional vulnerado sea tardío e impida definitivamente que tal restauración sea efectiva’ (ATC 20/1992) y haga ‘devenir inútil el proceso constitucional de amparo’ (AATC 51/1989 y 255/1996)”.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noviembre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