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5241-2011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5241-2011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28 de septiembre de 2011 tuvo entrada en el Registro General de este Tribunal, recurso de amparo interpuesto por don José Antonio Sandín Fernández, en representación de don Gaspar Llamazares Trigo y de doña Nuria Buenaventura Puig, Diputados del Grupo Parlamentario Esquerra Republicana-Izquierda Unida-Iniciativa Per Catalunya Verds en el Congreso de los Diputados contra las siguientes resoluciones y acuerdos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Contra la resolución de la Mesa del Congreso de los Diputados, de 30 de agosto de 2011, por la que se dispone la tramitación de la proposición de reforma del art. 135 CE por el procedimiento de urgencia y la finalización del plazo para la interposición de enmiendas por parte de los grupos parlamentarios el día 1 de septiembre de 2011 a las catorce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el acuerdo de la Mesa del Congreso de los Diputados, de 2 de septiembre de 2011, desestimatorio de la reconsideración de los acuerdos adoptados el 30 de agosto de 2011, solicitada por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el acuerdo del Pleno del Congreso de los Diputados, de 30 de agosto de 2011, por el que se aprueba la toma en consideración y la tramitación por el procedimiento de lectura única de la proposición de reforma del art. 135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el acuerdo de la Mesa del Congreso de los Diputados, de 1 de septiembre de 2011, por el que se inadmite la enmienda a la totalidad con texto alternativo presentada por el grupo parlamentario al que pertenecen los recurrentes y su ulterior confirmación por acuerdo del mismo órgano rector de la Cámara, de 2 de septiembre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de 26 de agosto de 2011 tuvo entrada en el Registro del Congreso de los Diputados una proposición de reforma del art. 135 CE suscrita por los grupos parlamentarios socialista y popular en dicha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parte de la Presidencia de la Cámara, con la misma fecha, se acordó, de una parte: admitir a trámite, publicar en el boletín correspondiente y someter la iniciativa a la deliberación del Pleno a los efectos de su toma en consideración; y, de otra parte, dar traslado al Gobierno para que manifestara su criterio respecto de la toma en consideración. La publicación de la proposición de reforma tuvo lugar en el “Boletín Oficial de las Cortes Generales” de 26 de agosto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Posteriormente la Mesa del Congreso de los Diputados acordó, con fecha de 30 de agosto de 2011, los siguientes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en el caso de que la proposición de reforma del artículo 135 de la Constitución Española fuese tomada en consideración y acordada su tramitación directa y en lectura única, de conformidad con lo dispuesto en los artículos 93 y 126.5, por remisión del artículo 146.1, todos ellos del Reglamento del Congreso de los Diputados, su tramitación por el procedimiento de urgencia.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disponer la apertura de un plazo de presentación de enmiendas a la señalada proposición de reforma que debía concluir el 1 de septiembre de 2011, a las 14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toma en consideración de la iniciativa de reforma constitucional tuvo lugar en sesión plenaria el mismo 30 de agosto de 2011, en la que se acordó, igualmente, la tramitación directa y en lectura única de dicha iniciativa según lo prevenido en el art. 150 del Reglamento del Congreso de los Diputados (RCD).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su parte, los ahora recurrentes en amparo, integrantes del grupo parlamentario Esquerra Republicana-Izquierda Unida-Iniciativa Per Catalunya Verds en el Congreso de los Diputados, presentaron escrito, con fecha de 30 de agosto de 2011, por el que se solicitaba de la Mesa de la Cámara la reconsideración del acuerdo de 30 de agosto de 2011 de conformidad con lo establecido en el art. 31.2 RCD. En el escrito se denunciaba la inadecuación de la tramitación parlamentaria acordada con respecto de lo previsto en el art. 150.1 RCD para el procedimiento de lectura única y con la propia naturaleza del objeto de la iniciativa, una reforma de la Constitución. En particular se puso de manifiesto la improcedencia de someter los plazos de la tramitación al procedimiento de urgencia sin adecuada motivación que, a juicio de los recurrentes, resulta indispensable. Igualmente se alegó que la sustancial reducción de plazos para la presentación de enmiendas vulneraba el ius in officium de los representantes garantizado por 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referido órgano rector de la Cámara acordó, con fecha de 2 de septiembre de 2011, desestimar la solicitud de reconsideración. Así, en primer lugar, se rechazó que la proposición de reforma pudiera suponer una reforma encubierta del título preliminar de la Constitución por afectar al art. 1.1 CE, pues ni la literalidad del texto de la iniciativa, ni la jurisprudencia constitucional o la misma doctrina permiten llegar a dicha conclusión. Por ello, se niega la pretensión de los recurrentes de que la proposición de reforma habría de sustanciarse a través del procedimiento previsto en el art. 168 CE; otra cosa supondría extender indebidamente la rígida delimitación material que contiene dicho precepto en cuanto a los supuestos de reforma agravada de la Constitución. En segundo lugar, con respecto del cuestionamiento del recurso al procedimiento de lectura única, se estima que el art. 146 RCD no contiene exclusión alguna en tal sentido, argumentándose que la anterior reforma constitucional, la correspondiente al art. 13.2 CE, se sustanció precisamente a través de dicho procedimiento; por lo demás, de acuerdo con el art. 150 RCD, no ha sido la Mesa de la Cámara quien decidió la adopción del citado procedimiento, por cuanto únicamente elevó la propuesta al Pleno de la Cámara que fue quien finalmente adoptó la decisión. En tercer lugar, y con respecto de la tramitación urgente de la iniciativa con la correspondiente reducción del plazo de presentación de enmiendas, se rechazó que la Mesa hubiera de motivar la necesidad de la tramitación urgente pues, de acuerdo con lo dispuesto en el Reglamento de la Cámara, la Mesa no actuó de oficio, sino que atendió la solicitud realizada, en este sentido, por parte de los promotores de la iniciativa de reforma constitucional, tras la oportuna consideración. Y, en este sentido, se señalaba en el escrito de la iniciativa la inminente disolución de las Cortes anunciada para el día 26 de septiembre como circunstancia que aconsejaba la tramitación parlamentaria urgente. Se concluye poniendo de manifiesto que la tramitación acordada ha dejado a salvo las facultades propias del ius in officium, por cuanto, a pesar de la celeridad del procedimiento, los Diputados han dispuesto del trámite de la toma en consideración, han podido presentar enmiendas, recurrir las decisiones de trámite de la Mesa de la Cámara y, por último, podrán manifestar su conformidad o rechazo a la reforma de la Constitución propuesta mediante el correspondiente voto.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Paralelamente, los recurrentes habían presentado, con fecha de 1 de septiembre de 2011, una enmienda a la totalidad con texto alternativo que resultó inadmitida por acuerdo de la Mesa del Congreso de los Diputados, de ese mismo día, por entender que a través de la referida enmienda se postulaba una reforma del texto constitucional de las previstas en el art. 168 CE. En el acuerdo se habilitaba un plazo de unas horas con el objeto de reformular la enmienda. Presentada en tiempo y forma la correspondiente aclaración y reformulación de la enmienda a la totalidad supracitada, en forma de escrito de reconsideración, la Mesa de la Cámara, por acuerdo de 2 de septiembre de 2011, ratificó la inadmisión de la misma con expresa desestimación de las alegaciones formuladas.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escrito la Mesa indica que la reconsideración, con las aclaraciones y reformulaciones incorporadas, no altera sustancialmente el contenido inicial del escrito de presentación de enmienda a la totalidad con texto alternativo inadmitido y, por ello, se insiste en el rechazo por proponerse una reforma constitucional de las previstas en el art. 168 CE cuando, la tramitación en curso, se refiere a la modificación de un precepto de la Norma Suprema cuya tramitación ha de ajustarse a lo prevenido en el art. 167 CE. Se señala que dicho escrito, en realidad bien podría constituir el contenido de una proposición de reforma de la Constitución que, de formalizarse, se tramitara de acuerdo con lo señalado en los arts. 147 del Reglamento del Congreso de los Diputados y 168 CE, lo que no es el caso del procedimiento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la vulneración del derecho contenido en el art. 23.2 CE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ponen de manifiesto la, a su juicio, inadecuada tramitación de la proposición de reforma constitucional conforme al procedimiento ordinario del art. 167 CE, pues la reforma propuesta no se limita al art. 135 CE, sino que supone una modificación encubierta del título preliminar de la Constitución Española, singularmente en cuanto el apartado tercero del precepto prevé que: “los créditos para satisfacer los intereses y el capital de la deuda pública de las Administraciones se entenderán siempre incluidos en el estado de gastos de sus presupuestos y su pago gozará de prioridad absoluta”. La previsión, siempre a juicio de los recurrentes, supone introducir un valor superior a los de justicia y equidad, con el resultado de que la cláusula social del Estado queda menoscabada al quedar éste como un “Estado rehén” de las eventuales condiciones que los mercados vayan imponiendo para la financiación pública. Con estos presupuestos, la reforma de la Constitución, además de la reforma encubierta del título preliminar, en especial de su art. 1.1, supone una rebaja del nivel de protección de los derechos fundamentales (se alude, ad exemplum, al derecho a la tutela judicial efectiva, en cuanto que los recursos destinados a la Administración de justicia quedan condicionados al pago prioritario de los intereses y capital de la deuda o de la vertiente prestacional del derecho a la educación, por las mismas razones). En definitiva, la utilización del procedimiento de reforma ordinario, además de inadecuada por razones materiales, supone una merma en las facultades de participación de los Diputados y de los propios ciudadanos por cuanto se eliminan las preceptivas convocatorias electoral y del referéndum previstas en el art. 168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subsidiario a lo anteriormente expuesto, los recurrentes pasan a analizar cada uno de los acuerdos parlamentarios adoptados en relación con la tramitación de la reforma constitucional controvertida a los efectos de determinar la vulneración del derecho fundamental invocado. En primer lugar, se cuestiona el recurso al procedimiento de lectura única, con una reducción sustancial de las facultades parlamentarias de los Diputados, entre las que se destaca que se eluda el debate en fase de comisión (en este caso, la Comisión Constitucional del Congreso de los Diputados). Pues bien, dicho sacrificio debe sustentarse en razones sólidas y, en este sentido, del tenor del art. 150.1 RCD se deduce que el controvertido procedimiento parlamentario procede en aquellos supuestos en los que la naturaleza de la iniciativa así lo aconseje o cuando la “simplicidad de formulación lo permita”, sin que parezca que una reforma constitucional encaje en ninguna de dichas circunstancias. A todo ello hay que unir la manifiesta ausencia de fundamentación o explicación de las razones por las que los promotores de la iniciativa y los distintos órganos parlamentarios intervinientes han adoptado la decisión de simplificar al máximo la tramitación de la reforma. En suma, se pone de manifiesto cómo la propia Constitución excluye de los procedimientos menos rigurosos, en términos de garantías, la reforma constitucional cuando el art. 78 CE (sic) prohíbe la aprobación de la misma por comisión legislativa permanente.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los recurrentes cuestionan igualmente el recurso al procedimiento de urgencia, con especial atención a la sustancial reducción del plazo para la presentación de enmiendas. Si bien dicha reducción está admitida por el Reglamento de la Cámara, se indica que repugna al Derecho que sea la mera conveniencia o arbitrariedad de los partidos la que determine la aplicación del procedimiento de urgencia en una iniciativa de las características de una reforma constitucional a la que, además, debería acompañarse de una justificación explícita de la Mesa de la Cámara, pues no puede tratarse de una decisión discrecional de dicho órgano al afectarse al derecho de participación. Así, se reprocha que la valoración de la Mesa se haya basado en las declaraciones realizadas ante los medios de comunicación por distintos representantes políticos anunciando una, entonces eventual, disolución de las Cámaras. La urgencia resulta si cabe más cuestionable cuando la disposición adicional única de la proposición de reforma establece un plazo de aprobación para la norma de desarrollo fijado el 30 de junio de 2012 y una entrada en vigor de los límites del déficit estructural contemplados en el apartado segundo del precepto que se demora hasta el año 2020. En consecuencia, la ausencia de justificación en la adopción del procedimiento de urgencia hace lesivas del derecho al ejercicio de la función parlamentaria las reducciones de plazos acordadas para la tramitación de la proposición de reforma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se cuestiona la concreta reducción del plazo para la presentación de enmiendas acordada por la resolución de la Mesa del Congreso de los Diputados de 30 de agosto de 2011. Se considera que la Mesa ha realizado una aplicación fraudulenta del art. 91.2 RCD, que dispone que “salvo casos excepcionales, las prórrogas no serán superiores a otro tanto del plazo ni las reducciones a su mitad”. Al igual que lo expuesto con anterioridad, los recurrentes basan su reproche en la total ausencia de motivación que justifique la excepcionalidad del caso. Aún más, en la medida en que el Presidente del Gobierno no aludió en su anuncio de disolución de las Cámaras a una reforma constitucional, hay motivos para sospechar que la iniciativa se debe a presiones externas igualmente sin explicitar y que los ciudadanos y sus representantes debieran conocer. Con estos presupuestos, la radical reducción del plazo de presentación de enmiendas a 48 horas ha resultado lesiva del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concluyen la primera parte de su recurso exponiendo las consecuencias del procedimiento parlamentario que se ha seguido en este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Eludir la negociación previa de la reforma constitucional, dificultando la búsqueda de consenso y reduciendo las facultades de participación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Eludir la transparencia en la explicación y el contraste de opiniones sobre las consecuencias de la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Evitar un debate en profundidad en la Comisión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Dificultar el trabajo parlamentario de los Diputados que no han aceptado el acuerdo de los grupos promotores de la iniciativa.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Evitar el debate y aportaciones de Comunidades Autónomas y Ayuntamientos, a quienes afecta directamente la reforma constitucional acometida.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Evitar el referéndum que permitiera conocer “la opinión del pueblo español” sobre la reforma que de esta manera aparecerá como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los recurrentes realizan una serie de consideraciones sobre la decisión de la Mesa de la Cámara en orden a inadmitir la enmienda a la totalidad con texto alternativo presentada por ellos. Estiman que la actitud del órgano rector de la Cámara ha supuesto un evidente menosprecio a la labor de los Diputados recurrentes sin más motivación que la de tratar de introducir una reforma constitucional que precisa de una tramitación diferente a la que se estaba siguiendo y sin soporte legal en el Reglamento de la Cámara. El asunto trasciende del plano de las formas parlamentarias para incidir en el ejercicio de las facultares de los Diputados amparado por el art. 23 CE. A mayor abundamiento, el Reglamento de la Cámara permite modificar la tramitación de una ley ordinaria como ley orgánica a través de las enmiendas presentadas al proyecto, y que analógicamente podía haberse aplicado al supuesto objeto de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sustentan su demanda en numerosa cita de la jurisprudencia de este Tribunal, singularmente, la STC 208/2003, de 1 de diciembre, sobre el contenido y alcance del art. 23.2 CE, la STC 39/2008, de 10 de marzo, sobre el derecho de los parlamentarios a acudir en amparo frente a las decisiones de las Cámaras, la STC 205/1990, de 13 de diciembre, sobre los límites a las facultades de calificación y admisión de las Mesas de las Cámaras y la adecuada motivación de sus resoluciones en relación con el art. 23.2 CE,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concluye solicitando, previo otorgamiento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Que se declare la nulidad de las resoluciones y acuerdos impugnados, “así como de las decisiones y acuerdos posteriores hasta la aprobación final por el Parlamento de la reforma del artículo 135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Que se retrotraiga la tramitación de la proposición de reforma del artículo 135 de la Constitución Española al momento de publicación de la iniciativa, al objeto de que se tramite conforme al art. 168 CE o, subsidiariamente, que se tramite a través del procedimiento contemplado en el art. 167 CE de forma ordinaria, sin declaración de urgencia, sin reducción de los plazos y sin tramitación por el procedimiento de lectura única.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13 de diciembre de 2011 el Pleno acordó, conforme al art. 10.1 n) de la Ley Orgánica del Tribunal Constitucional, a propuesta de la Sala Segunda, recabar para sí el conocimiento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Constituyen el objeto del presente recurso de amparo, distintas resoluciones y acuerdos adoptados por el Pleno y la Mesa del Congreso de los Diputados en relación con la tramitación parlamentaria de la proposición de reforma del art. 135 CE presentada por los grupos parlamentarios socialista y popular en dicha Cámara. A los efectos de una mejor definición de dicho objeto los actos impugnados pueden sistematizarse de la siguiente manera: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un lado, se impugnan una serie de acuerdos y resoluciones relativos a la tramitación en el Congreso de los Diputados de la iniciativa de la reforma constitucional citada y que resultan ser: primero, la resolución de la Mesa del Congreso de los Diputados, de 30 de agosto de 2011, por la que se dispuso la tramitación de la proposición de reforma del art. 135 CE por el procedimiento de urgencia y la finalización del plazo para la interposición de enmiendas el día 1 de septiembre de 2011 a las catorce horas, para el caso de que el Pleno de la Cámara tomara en consideración la iniciativa y acordara su tramitación por el procedimiento de lectura única, así como la ulterior confirmación de dicho acto recaída en reconsideración, con fecha de 2 de septiembre de 2011. Segundo, el acuerdo del propio Pleno de la Cámara, de 30 de agosto de 2011, por el que se aprobó la toma en consideración y la tramitación por el procedimiento de lectura única de la proposición de reforma del art. 135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y, en relación con la intervención de los ahora recurrentes en amparo durante la tramitación parlamentaria en el Congreso de los Diputados de la iniciativa de reforma del art. 135 CE, se impugna el acuerdo de la Mesa del Congreso de los Diputados, de 1 de septiembre de 2011, por el que inadmitió la enmienda a la totalidad con texto alternativo presentada por el grupo parlamentario al que pertenecen los demandantes y su ulterior confirmación por acuerdo del mismo órgano rector de la Cámara de 2 de septiembre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interesan el otorgamiento del amparo solicitado, con la nulidad de las resoluciones y acuerdos impugnados, así como de cuantos se hubieran adoptado posteriormente hasta la aprobación definitiva de la reforma del art. 135 CE; igualmente pretenden la retroacción de la tramitación parlamentaria hasta el momento de la publicación de la iniciativa de reforma, al objeto de que prosiga de acuerdo con el procedimiento de reforma constitucional agravado, recogido en el art, 168 CE, o, subsidiariamente, de tramitarse mediante el procedimiento ordinario del art. 167 CE, que no se declare la urgencia ni, en consecuencia, la correspondiente reducción de plazos y, por último, que la tramitación no se realice a través del procedimiento de lectura única.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denuncian los recurrentes la vulneración de sus facultades como parlamentarios, integradas en el art. 23.2 CE, y que se han visto menoscabadas o mermadas por parte de los distintos actos impugnados. Todo ello sin perjuicio de la genérica invocación del art. 23.1 CE sin fundamentación que permita advertir los motivos de la lesión; ausencia de precisión que no resulta baladí en el trámite de admisión del recurso de amparo, pues como se ha señalado por este Tribunal: “sobre quien impetra el amparo constitucional pesa, no solamente la carga de abrir la vía para que este Tribunal pueda pronunciarse sobre las vulneraciones de la Constitución que se aleguen, sino además la de proporcionar la fundamentación jurídica y fáctica que razonablemente cabe esperar, y que se integra en el deber de colaborar con la jurisdicción constitucional, sin que le corresponda a este Tribunal reconstruir de oficio las demandas, suplir los razonamientos de las partes, ni suscitar la eventual existencia de los motivos relevantes para el amparo fuera de la vía prevista en el art. 84 LOTC” (SSTC 143/2003, de 14 de julio, FJ 2; y 196/2005, de 18 de julio,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reprocha a la Mesa que, inicialmente, haya calificado la proposición de reforma constitucional controvertida dentro de los supuestos objeto del procedimiento ordinario de reforma contemplados en el art. 167 CE, sobre la base de que la misma supone una reforma encubierta del título preliminar de la Constitución, afecta a distintos derechos fundamentales en cuanto merma su nivel de protección y menoscaba, en fin, las facultades de los Diputados y de los propios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de la documentación aportada con la demanda se deduce que la Mesa del Congreso de los Diputados, con escrupulosa sujeción a lo dispuesto en los arts. 167 y 168 CE, únicamente podía calificar la reforma del art. 135 CE como objeto del procedimiento ordinario de reforma constitucional recogido en el art. 167 CE, sin plantearse eventuales conexiones del precepto objeto de la reforma con otros preceptos o apartados de la Norma Suprema que sí deban ser objeto del procedimiento agravado. Tal y como se argumenta en el acuerdo del mismo órgano, de 2 de septiembre de 2011, por el que se resuelve la reconsideración planteada, la pretendida conexión del art. 135 CE con otros preceptos “no encuentra amparo alguno ni en la propia literalidad del texto constitucional, ni en la jurisprudencia constitucional ni tampoco en la doctrina”. En segundo término, continúa el citado acuerdo, “tal y como ha quedado claro en todos los años de vigencia constitucional, el procedimiento agravado previsto en el artículo 168 CE está limitado por su propia naturaleza al objeto normativo en él contemplado sin que quepa ni sea razonable, una extensión por vía alguna de unos requisitos ya de por sí hiperrígidos. Esta pretensión carecería de sentido alguno y es directamente contraria al espíritu de un texto constitucional que delimitó con bastante precisión las dos vías de reforma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texto constitucional establece de manera precisa la finalidad de las dos vías de reforma que prevé, en función de los objetos sobre los que se puede proyectar, de tal modo que admitir la pretensión de los recurrentes alteraría el equilibrio buscado por el constituyente, corriendo el riesgo de dejar a la discreción del órgano rector de la Cámara la determinación del procedimiento de reforma constitucional. La posible afección de la modificación de un precepto de la Constitución a otros de la misma norma ha sido considerada por este Tribunal con ocasión de la Declaración 1/1992, de 1 de julio (DTC 1/1992), dictada previa consulta del Gobierno de la Nación, al amparo del art. 95.2 CE, en relación con la reforma del art. 13.2 CE, concluyendo que “al no contrariar el precepto examinado otra norma de la Constitución distinta al art. 13.2 de la misma, el procedimiento para la revisión constitucional que prevé el art. 95.1, ha de ser el de carácter general u ordinario contemplado en el art. 167 de nuestra Ley fundamental”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carácter subsidiario a la controvertida calificación de la reforma del art. 135 CE como objeto del procedimiento ordinario previsto en el art. 167 CE, los recurrentes impugnan los acuerdos relativos a la tramitación de la reforma por el procedimiento de lectura única, la declaración de urgencia y la consiguiente reducción de los plazos para la presentación de enmiendas, por resultar igualmente lesivos del derecho al ejercicio de las funciones parlamentarias ex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aprecia lesión en el proceder de la Mesa ni del Pleno sobre el particular. Ni de la lectura del texto constitucional en su conjunto, ni de modo especial del título X dedicado por la propia Constitución a su posible reforma, ni del art. 146 del Reglamento del Congreso de los Diputados (RCD) se advierte que la aprobación de la reforma constitucional haya quedado excluida del procedimiento de lectura única. Supuesto distinto, por lo tanto, al abordado en la STC 103/2008, de 11 de septiembre, en la que el Tribunal trató de la inconstitucionalidad de una norma que se había tramitado conforme a dicho procedimiento cuando el Reglamento parlamentario aplicable excluía expresamente del mismo la materia objeto de la norma. A mayor abundamiento, no es un dato menor el que la única especialidad procedimental vetada por la Norma Fundamental, en relación con la reforma constitucional, es la eventual atribución de la aprobación de la misma a una comisión legislativa permanente (art. 75.3 CE), asegurando así, precisamente, la intervención del Pleno de la Cámara. Intervención que sí se produce durante la sustanciación del procedimiento de lectura única que tiene lugar exclusivamente en sesión plenaria.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desde la perspectiva del procedimiento de lectura única —que se considera inadecuado por los demandantes no reunirse en este caso las notas de simplicidad o naturaleza que así lo aconsejen—, las normas aplicables (art. 150 RCD y concordantes) no establecen materias vedadas a dicha tramitación, como sí sucede con el Reglamento parlamentario de alguna Asamblea autonómica. Pero es que, además, la adopción de dicho procedimiento no se ha debido a la voluntad de la Mesa del Congreso de los Diputados (que únicamente ha formulado propuesta en tal sentido según previene el art. 150 RCD), como parece deducirse del escrito de reconsideración planteado por los recurrentes, sino al Pleno de la Cámara mediante la oportuna votación. Tampoco se deduce de las normas parlamentarias que la Mesa haya de motivar la propuesta de que una determinada iniciativa se tramite mediante el procedimiento de lectura única (art. 150.1 RCD). A mayor abundamiento, en este caso, como se advierte de la lectura de la documentación que se acompaña a la demanda, la solicitud de tramitación por el citado procedimiento se contenía en el escrito de presentación de la iniciativa dirigido por sus promotores a la Mesa de la Cámara, limitándose este órgano a dar traslado de la misma al Pleno, pues debe ser este órgano el que, tras la oportuna votación, decida en consecuencia.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en cuanto a la participación de los demandantes en el procedimiento y a las facultades integradas en el art. 23.2 CE, éstos han tenido la oportunidad de intervenir en la fase plenaria durante el trámite de toma en consideración y de oponerse mediante el oportuno voto a la misma, en la tramitación de la proposición mediante el controvertido procedimiento y, ulteriormente, en la propia aprobación de la iniciativa de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Otro tanto sucede con el cuestionamiento que los recurrentes realizan del recurso a la tramitación urgente de la iniciativa de reforma constitucional y a la consiguiente reducción de plazos para la presentación de enmiendas. Nuevamente, de la lectura del Reglamento de la Cámara se advierte que la Mesa se ha ajustado al mismo. En primer lugar, y así se mantiene en el escrito por el que se resuelve la reconsideración, el órgano rector de la Cámara no ha de motivar o justificar su decisión, sino adoptarla en función de la solicitud elevada por los sujetos legitimados para ejercerla (art. 93.1 RCD). Ello sin perjuicio de que no puede sostenerse que no hayan existido razones de fondo para la solicitud, desde el momento en que se había anunciado públicamente el término de la legislatura mediante el recurso a la convocatoria de elecciones anticipadas. En segundo lugar, precisamente por esa circunstancia, concurrían razones de excepcionalidad, por mucho que los recurrentes puedan políticamente no compartirlas, que habilitaban a la Mesa para reducir el plazo de presentación de enmiendas previsto en el art. 94 RCD (“sin perjuicio de lo establecido en el artículo 91 del presente Reglamento, los plazos tendrán una duración de la mitad de los establecidos con carácter ordinario”) a su mitad, como permite el art. 91.2 de la misma norma (“salvo casos excepcionales, las prórrogas no serán superiores a otro tanto del plazo ni las reducciones a su mitad”). En fin, aun en términos tan perentorios, la tramitación urgente no ha impedido a los recurrentes las facultades que les corresponden como Diputados en el seno del procedimiento legislativo, como prueba el que hayan presentado una extensa enmienda a la totalidad con texto alternativo, pues como ha declarado este Tribunal: “la declaración de urgencia por el Gobierno de un proyecto de ley a efectos de su tramitación en dicha Cámara, aun remitido ya el Proyecto a las Cortes Generales, si bien abrevia el plazo de ésta, ni le priva del ejercicio de su función legislativa, al incidir el mecanismo conferido al Gobierno sobre la cronología del procedimiento pero no sobre el contenido del proyecto, ni restringe, ni en modo alguno podía hacerlo, el derecho de la Cámara y de sus miembros a tramitar los proyectos de ley en el plazo constitucionalmente establecido, ni, en fin, la reducción del tiempo de tramitación tiene por qué traducirse en merma alguna de los principios constitucionales que han de informar el procedimiento legislativo en cuanto procedimiento de formación de la voluntad del órgano”, (STC 234/2000, de 3 de octubre, FJ 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Procede, para concluir, examinar las quejas relativas a las resoluciones de la Mesa del Congreso de los Diputados por las que se inadmitió la enmienda a la totalidad con texto alternativo presentada por el grupo parlamentario de los ahora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vieron rechazada a limine la tramitación de una enmienda a la totalidad con texto alternativo, mediante la cual se pretendía la reforma de distintos preceptos de la Constitución y que habría exigido, además, la apertura del procedimiento extraordinario del art. 168 CE. En su escrito de 2 de septiembre de 2011, de contestación a las alegaciones presentadas, la Mesa recuerda que, de admitirse la tramitación de la enmienda a la totalidad, ésta hubiera supuesto un cambio en el objeto y el procedimiento de la reforma tal y como había sido planteada por sus promotores, con lo cual, al tenerse que sustanciar por el procedimiento extraordinario del art. 168 CE, se hubiera requerido una tramitación parlamentaria distinta a la seguida hasta el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realidad, los recurrentes presentaron una iniciativa de reforma de la Constitución distinta a la iniciativa que se estaba tramitando y no un texto alternativo a la reforma del art. 135 CE. En este sentido, la inadmisión a trámite de una enmienda que se separa del objeto de la tramitación en curso ha sido admitida por este Tribunal considerando que: “[p]ues bien, si se lee el escrito de ‘enmienda de totalidad’ de los Diputados recurrentes, se observa en él que no se limita al precepto estatutario objeto del Proyecto de reforma, exclusivamente el apartado 2 del art. 12 del Estatuto (que es el que establece el tope del 5 por 100 de votos para obtener escaños y que el proyecto pretendía reducir al 3 por 100), sino que extiende la enmienda a los arts. 12.1, 13, 14, 35, 47.4 y Disposición transitoria séptima de dicho Estatuto de Autonomía de la Comunidad Valenciana, con lo que, como bien dicen el Fiscal y el Letrado Mayor de las Cortes Valencianas, se desvirtúa lo que es una auténtica enmienda y se convierte el escrito en el que se contiene en otro proyecto de modificación del Estatuto de mucha mayor envergadura en cuanto se pretende modificar otros preceptos estatutarios que no son objeto del proyecto de Ley y, al tiempo, intentar con ello una iniciativa de reforma del Estatuto sin los requisitos de legitimación precisos para ello, establecidos en el art. 61.1 de dicho Estatuto autonómico” (STC 23/1990, de 15 de febrero de 1990,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recientemente, el Tribunal ha confirmado la necesaria homogeneidad de las enmiendas con la iniciativa que se pretende modificar, tanto en los supuestos en los que se sustancia la tutela de las facultades de los parlamentarios integradas en el art. 23.2 CE, al sostener que “en estas resoluciones se confirma la constitucionalidad de las valoraciones de las Mesas de las Cámaras sobre la homogeneidad de las enmiendas con las iniciativas legislativas a enmendar, para propiciar su inadmisión, no sólo en aquellos supuestos en que el Reglamento de la Cámara lo tenga previsto de manera expresa (STC 23/1990 y ATC 275/1993), sino también, en aquellos casos en que no se establezca una concreta previsión al respecto (ATC 118/1999)” (STC 119/2011, de 5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decisión de la Mesa se encuentra debidamente motivada, cumpliéndose así las exigencias de este Tribunal en orden a que tales resoluciones incorporen una motivación expresa, suficiente y adecuada, en aplicación de las normas a las que está sujeta la Mesa en el ejercicio de su función de calificación y admisión de los escritos y documentos de índole parlamentaria (SSTC 161/1988, de 20 de septiembre, FJ 9; 107/2001, FJ 7; 203/2001, FJ 4; 177/2002, FJ 10; y 74/2009, FJ 3; 33/2010, de 19 de julio, FJ, 4; 44/2010, de 26 de julio, FJ 4; o 29/2011, de 14 de marzo, FFJJ 4 y 5,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expuesto, y una vez descartada la existencia de lesión alguna del art. 23.2 CE en los términos alegados por los recurrentes, ha de inadmitirse la presente demanda de amparo al no existir violación de derecho fundamental amparable, con lo que incurre en un supuesto de inadmisión previsto en el art. 50.1 a) en relación con el art. 42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Valencia, a trece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Vicepresidente del Tribunal Constitucional, don Eugeni Gay Montalvo, al Auto dictado en el recurso de amparo avocado al Pleno núm. 5241-2011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profundo respeto a la autoridad de la decisión mayoritaria, pero para ser coherente con la posición que he mantenido en el Pleno, y en ejercicio de la facultad establecida en el art. 90.2 de la Ley Orgánica del Tribunal Constitucional (LOTC), formulo Voto particular concurrente en los términos que paso a exponer: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Único. Aun coincidiendo con la mayoría en el fallo de este Auto y parcialmente en la argumentación que lo fundamenta, entiendo que la misma detiene su análisis antes de tiempo, dejando sin abordar aspectos suscitados en la demanda de amparo que destacan por su trascendencia social y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cierto, como sostiene la decisión mayoritaria, que, dado que “ni de la lectura del art. 146 del Reglamento del Congreso de los Diputados ni de la propia Constitución se advierte que la aprobación de la reforma constitucional haya quedado excluida del procedimiento de lectura única”, éste podrá ser utilizado cuando proceda según sus reglas propias, esto es, “[c]uando la naturaleza del proyecto o proposición de ley tomada en consideración lo aconsejen o su simplicidad de formulación lo permita…” (art. 150 del Reglamento del Congreso de los Diputados).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que no comparto es que para considerar que concurren en este caso los supuestos previstos en este precepto, y en consecuencia que es adecuada la adopción del procedimiento de lectura única, baste que así lo haya considerado el Pleno de la Cámara mediante la oportuna votación. Creo, sin embargo, que es evidente, y así lo ha manifestado una doctrina constitucional reiterada (recientemente la STC 103/2008, de 11 de septiembre, FJ 5) que las normas de los reglamentos de las cámaras que regulan el procedimiento legislativo vinculan a éstas y que “tanto por la invulnerabilidad de tales reglas de procedimiento frente a la acción del legislador como, sobre todo, por el carácter instrumental que esas reglas tienen respecto de uno de los valores superiores de nuestro ordenamiento, el del pluralismo político (art. 1.1 CE), la inobservancia de los preceptos que regulan el procedimiento legislativo podría viciar de inconstitucionalidad la ley cuando esa inobservancia altere de modo sustancial el proceso de formación de voluntad en el seno de las Cámaras” [STC 99/1987, de 11 de junio, FJ 1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Afortunadamente la Constitución Española de 1978 fue el resultado de un común empeño de las fuerzas políticas resultantes de los comicios constituyentes que dieron su fruto con la aprobación de su texto definitivo, refrendado de manera abrumadora por el pueblo español en quien reside, sin duda alguna, la soberanía nacional. Fue en el consenso que nuestra Constitución encontró la fuerza jurídica, pero también moral, que ha hecho posible su pervivencia pacífica en el tiempo, inusual en la historia de nuestro constitucionalismo, y que ha permitido la consolidación de la vida democrática del país.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formas en democracia tienen una importancia que va más allá, o transciende, de lo estrictamente necesario y facilitan el encuentro de voluntades y sensibilidades distintas que son propias de la pluralidad de opiniones y criterios políticos de los ciudadanos. Nada impide que, en ciertas ocasiones, el legislador se vea obligado a propiciar un cambio por razones de urgencia del texto constitucional, lo que debe seguirse conforme a los preceptos de la propia Constitución y a lo dispuesto en los mecanismos previstos al efecto en las leyes y reglamentos de las Cámaras, sin olvidar que el consenso que inspiró su redacción primigenia tiene un valor añadido que debe, en todo caso, intentar preservar.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en este sentido que a mi juicio, la argumentación que fundamenta la decisión mayoritaria debería haber analizado si la votación del Pleno de la Cámara que acuerda adoptar el procedimiento de lectura única observa o no el mandato normativo contenido en el art. 150 del Reglamento del Congreso de los Diputados. Me queda claro, por un lado, que la proposición de ley de reforma de la Constitución Española de 1978 que fue tramitada por ese procedimiento tenía tantas implicaciones que no puede decirse, a primera vista, que tuviese una formulación simple. Por otro, es posible que, como ha avalado el Pleno de la Cámara con su voto favorable, la coyuntura que ha propiciado esta reforma constitucional dotase a aquella proposición legislativa de una naturaleza que aconsejase la sustanciación a través de este concreto procedimiento legislativo, si bien tratándose de una reforma de un texto constitucional que, como he dicho, se gestó como fruto de un delicado consenso pareciera que también hubiera motivos para entender que su naturaleza requería de una tramitación tal que facilitara la participación más plural posible, con la cual no se compadece el procedimiento de lectura única.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Valencia, a trece de enero de dos mil doce.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Pablo Pérez Tremps al Auto dictado en el recurso de amparo núm. 5241-2011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posición mayoritaria del Pleno debo manifestar mi discrepancia con la inadmisión con la que concluye la resolución del asunto citado en el encabezamiento y relativo a la impugnación de determinados actos dictados en la tramitación parlamentaria de la reforma de la Constitución, relativa a su art. 135, y aprobada el 27 de septiembre de 2011.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primero que debe quedar claro en mi discrepancia es que ésta afecta exclusivamente al fallo de inadmisión del citado Auto y que, por tanto, no alcanza al razonamiento sobre la existencia o no de lesión de la Constitución; lo que mi discrepancia comporta es la necesidad de que ese juicio sobre la lesión de la norma fundamental debería haberse hecho mediante Sentencia y no de forma liminar. Es más, y aún a riesgo de incurrir en una contradicción lógica, en una aproximación muy inicial podría incluso compartir los razonamientos sustanciales del Auto, aunque lo que sostengo es que, insisto en ello, la conclusión debería haberse alcanzado mediante Sentencia y, por tanto, tras un procedimiento sustanciado de manera completa de acuerdo con las previsiones de la Ley Orgánica del Tribunal Constitucional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conclusión de inadmisión a la que se llega por la mayoría parte de una construcción procesal que, aunque no hecha explícita de manera clara por el Tribunal después de la reforma de la LOTC realizada sobre el trámite de admisión por la Ley Orgánica 6/2007, es posible anclarla en la LOTC en su redacción actual; brevemente expuesta, esta construcción procesal se basa en la necesidad de que concurran tres elementos para proceder a la admisión a trámite de las demandas de amparo: el cumplimiento de los requisitos procesales o formales en sentido estricto art. 50.1 a), la concurrencia de trascendencia constitucional de la demanda art. 50.1.b) y que no pueda descartarse la existencia de lesión en un juicio preliminar, ictu oculi, de la demanda art. 50.1 a) en relación con los arts. 42 a 44. Este tercer elemento de enjuiciamiento es en el que se basa el Auto de inadmisión ya que ni establece que no se cumplan los elementos procesales, ni afirma que no exista trascendencia constitucional, sino que realiza ese juicio liminar para descartar que exista lesión, apelando al art. 50.1 a), en conexión con el art. 42 LOTC, en la medida en que éste, al igual que los arts. 43 y 44, y de forma genérica el art. 41.2, establecen que el amparo protege frente a violaciones de derechos fundamentales protegidos en amparo. Esta construcción viene a trasladar a la fase de admisión lo que, en realidad, es el juicio de fondo que, en principio, ha de desarrollarse en la Sentencia cuando se cumplen los requisitos procesales. Como señalaba, esta construcción, aunque antes de la reforma de la Ley Orgánica del Tribunal Constitucional tenía mejor anclaje legal en el concepto de “contenido constitucional” establecido en el viejo art. 50.1 c), puede entenderse que justifica inadmisiones a trámite cuando la ausencia de lesión sea manifiesta, aunque puedan cumplirse el resto de las condiciones de admisibilidad, que es lo que ha sucedido en este caso ya que la mayoría atribuye la inadmisión “una vez descartada la existencia de lesión alguna del art. 23.2 CE” a lo “previsto en el art. 50.1 a) en relación con el art. 42 LOTC” (FJ 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Ahora bien, aun asumiendo esta construcción jurisdiccional interpretativa de la nueva regulación legal, lo que no puede pretenderse es que toda demanda se someta en fase de admisión a un acabado juicio sobre el fondo de la cuestión planteada, ya que ello supondría reservar las Sentencias de amparo para pronunciamientos estimatorios y a una sustitución del juicio sustantivo por el juicio liminar. Ni ello tiene sentido procesal ni encaja en una concepción del recurso de amparo, que no es sólo un instrumento de garantías constitucional de derechos sino también de interpretación constitucional. Esta construcción lo que puede y debe servir en mi opinión es para rechazar a limine, como también se ha apuntado, demandas en las que se suscitan cuestiones que no suponen, de manera evidente, clara e incontestable, lesión alguna del derecho o derechos fundamentales invocados. Y esta es una facultad que el Tribunal debe administrar de forma muy comedida, tanto para no vaciar de buena parte de su contenido constitucional el recurso de amparo como para legitimar la posición constitucional del propio Tribunal Constitucional como órgano que ejerce una jurisdicción de garantía y de suprema interpretación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acuerdo con lo expuesto, lo que en este caso se hace es inadmitir una demanda de amparo que, cumpliendo los requisitos procesales básicos, y poseyendo claramente trascendencia constitucional al tratarse de una demanda que afecta a una reforma de la Constitución, se entiende que no denuncia ninguna lesión susceptible de ser apreciada. Pero ello se produce, hay que insistir en ello, en un juicio liminar, ictu oculi, sin tramitar el juicio de amparo de manera plena, y un juicio que da respuesta a una demanda suscitada por Diputados, representantes de la Nación española, que han participado en el procedimiento legislativo de reforma denunciando irregularidades en el mismo.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además, desde el punto de vista material o sustantivo, se inadmite después de llevar a cabo, como se pone de manifiesto con una lectura somera del Auto, un juicio de manifiesta complejidad técnica y de trascendencia constitucional ya que versa sobre una cuestión sin casi previa doctrina constitucional, dada su novedad, como es el desarrollo del procedimiento parlamentario de reforma constitucional y la posición de los representantes del pueblo en ese procedimiento, y, por tanto, del respeto a los derechos fundamentales del art. 23 CE. Insisto en que posiblemente la solución final a alcanzar después de un examen completo, oídas las partes previstas al efecto (y no sólo los demandantes), pudiera concluir en un pronunciamiento desestimatorio, pero el Tribunal Constitucional no puede anticipar dicho juicio de forma tan liminar ni debe renunciar a llevarlo a cabo en Sentencia. Una cuestión técnicamente compleja, novedosa, de evidente interés constitucional, suscitada por parlamentarios representantes del pueblo español no debería haberse inadmitido a trámite sino que debería haber sido objeto de un pronunciamiento más reposado y tras un análisis procesalmente completo de las cuestiones planteadas. Al no haberlo hecho así creo que flaco favor se ha hecho a la interpretación constitucional, a la propia legitimidad institucional del Tribunal Constitucional y a la legitimidad misma de la reforma constitucional llevada a cabo.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Valencia, a trece de enero de dos mil doce.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el Magistrado don Luis Ignacio Ortega Álvarez al Auto dictado en el recurso de amparo núm. 5241-2011.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Además de los argumentos de procedimiento desarrollados respecto de este mismo asunto por el Magistrado don Pablo Pérez Tremps en su Voto particular al que me adhiero en su totalidad, quiero desarrollar otros dos de contenido material relativos al papel de este Tribunal ante los procesos de reforma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Estoy conforme con lo señalado en el Auto al que se refiere este Voto particular, cuando se declara que el constituyente ha querido dejar separados los procesos de reforma contemplados en los artículos 167 y 168 CE y que esa claridad debe ser respetada por este Tribunal. Sin embargo, aunque bien es cierto que no hay una afirmación en contrario, hubiese sido más acorde con la función de control y tutela de la Constitución que este Tribunal tiene encomendada el haber establecido expresamente una reserva de conocimiento y examen del contenido de las reformas constitucionales realizadas, para evitar que, presentada la reforma de una parte de la Constitución a la que formalmente correspondería el procedimiento del artículo 167 CE, materialmente se estuviese produciendo también una variación sustancial de las partes de la Constitución cuya reforma exige adoptar el procedimiento del artículo 168 CE. Por ejemplo, si se pretendiese una reforma de los artículos 147 y 152 CE en el sentido de que expresamente se prohibiese a los Estatutos de Autonomía la posibilidad de incluir entre las instituciones autonómicas las Asambleas legislativas (artículos para cuya reforma corresponde el procedimiento del artículo 167 CE) cabría preguntarse si esta reforma no estaría afectando también al artículo 2 CE, para cuya reforma sí se exige el procedimiento del artículo 168.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Igualmente, considero que el Tribunal podría haber establecido el criterio de la necesidad de distinción entre los procedimientos parlamentarios legislativos, en los que las Cortes como institución y los representantes del pueblo actúan como órganos y poderes constituidos y los procedimientos parlamentarios de reforma constitucional, en los que actúan como poder constituyente. Como defensor de la Constitución, este Tribunal podría haber exigido que se respetase el valor supraordenado de la norma Constitucional respecto de los productos normativos emanados de las Cámaras legislativas.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corresponder a este Tribunal establecer los términos concretos de dicha diferencia de procedimiento parlamentario, si hubiese sido posible a mi juicio, el declarar la necesidad de establecer tal diferencia en respeto de la diferente condición de las Cortes Generales cuando actúan como órgano constituido a cuando lo hacen como órgano constituyente.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voto favorable se explica en la consideración de evitar que este Tribunal pudiese invadir el terreno que le corresponde al poder legislativo, pero considero que esta reflexión debería haber formado parte del cuerpo de la decisión sobre este asunto.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Valencia, a trece de enero de dos mil doce.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