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4169-2010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4169-2010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solicitada por doña María Josefa Uzkudun Etxeganusia en el recurso de amparo núm. 4169-2010.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19 de mayo de 2010, el Procurador de los Tribunales don Javier Cuevas Ribas, en nombre y representación de doña María Josefa Uzkudun Etxenagusia, interpuso recurso de amparo contra el Auto de 17 de agosto de 2009, dictada por la Sección Segunda de la Sala de lo Penal de la Audiencia Nacional, en la ejecutoria núm. 30-1996, dimanante del sumario núm. 1-1985 procedente del Juzgado Central de Instrucción núm. 5, por el que se aprueba la fecha de licenciamiento definitivo del recurrente, y Sentencia 195/2010, de 24 de febrero, de la Sala Segunda del Tribunal Supremo, que desestima el recurso de casación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de amparo fue condenado a diversas penas privativas de libertad cuya suma supera los treinta años de duración, si bien, de conformidad con el art. 70 del Código penal de 1973, una vez operada la oportuna refundición de condenas, éste es el límite máximo de cumplimiento efectivo.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17 de agosto de 2010, la Sección Segunda de la Sala de lo Penal de la Audiencia Nacional dictó Auto en el que se denegaba la fecha de licenciamiento prevista para el 27 de agosto de 2009, aprobaba el licenciamiento definitivo del penado para el día 5 de febrero de 2021.</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c) Contra dicho Auto interpuso el demandante recurso de casación, que fue desestimado por Sentencia del Tribunal Supremo de 24 de febrero de 2010 que, del mismo modo que la providencia impugnada, se sustenta en el criterio iniciado por la Sala de lo Penal del Tribunal Supremo con la Sentencia 197/2006, de 28 de febrero, con arreglo al cual el beneficio de redención de penas por el trabajo consagrado en el art. 100 del Código penal de 1973 ha de aplicarse, no a ese máximo de cumplimiento de treinta años, sino a cada una de las penas impuestas en las diversas causas.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impugnadas han vulnerado los derechos a la defensa y a un proceso con todas las garantías (art. 24.2 CE), a la libertad (art. 17.1 CE), a la tutela judicial efectiva (art. 24.1 CE), a la legalidad penal (art. 25.2 CE) así como los principios de seguridad jurídica e irretroactividad (art. 9.3 CE), y al principio de que las penas privativas de libertad han de estar orientadas hacia la reeducación y reinserción social (art. 25.2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otrosí, el recurrente solicitaba la suspensión de la ejecución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14 de abril de 2011, acordó admitir a trámite la demanda de amparo y, en aplicación de lo dispuesto en el art. 51 de la Ley Orgánica del Tribunal Constitucional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igual fecha, se acordó formar la oportuna pieza para la tramitación del incidente de suspensión y, de conformidad con lo dispuesto en el art. 56.4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de amparo evacuó el citado trámite a través de un escrito presentado en el Registro General de este Tribunal el 4 de mayo de 2011, en el que reiteró su solicitud.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alegaciones presentado el 17 de mayo de 2011, pide que se deniegue la suspensión solicitada, en atención al criterio seguido por este Tribunal en el ATC 206/2010, de 30 de diciembre, que resolvió una petición dimanante de un recurso sustancialmente igual al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18 de enero de 2012, la Sala Segunda de este Tribunal, acordó avocar al Pleno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entre otros muchos, en los AATC 462/2007, de 17 de diciembre; 116/2008, de 28 de abril, y 25/2009, de 26 de enero,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y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ya que en dichos supuestos deben también ponderarse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ha quedado expuesto, el recurrente en amparo impugna el Auto de 17 de agosto de 2009 de la Audiencia Nacional por el que se aprueba la fecha de licenciamiento definitivo del recurrente, y la Sentencia del Tribunal Supremo de 24 de febrero de 2010 que confirma el anterior, de modo que las resoluciones judiciales recurridas en amparo no son aquellas que impusieron las penas privativas de libertad sino las que aprobaron el licenciamiento definitivo del penado aplicando el criterio jurisprudencial acogido por la Sala de lo Penal del Tribunal Supremo a partir de su Sentencia 197/2006, de 28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lo que el recurrente pretende es que este Tribunal acuerde cautelarmente su inmediata puesta en libertad en tanto se resuelva el recurso de amparo y, en consecuencia, se pronuncie sobre si el recurrente habría cumplido ya su condena el día 27 de agosto de 2009 (según sostiene el demandante) o si, en cambio, no la extingue hasta el día 5 de febrero de 2021 (como es el criterio de las resoluciones impugnadas), pues lo contrario, añade el recurrente, le produciría un perjuicio irreparable, en el caso de otorgarse finalmente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dijimos en el ATC 214/2007, de 16 de abril, dictado en un caso similar, “ponderando los intereses en juego en los términos anteriormente expuestos, este Tribunal entiende que ha de prevalecer el interés general en mantener la eficacia de las resoluciones judiciales, a la vista de la gravedad de los hechos por los que el recurrente se encuentra cumpliendo condena y de las penas impuestas, como pone de relieve el Ministerio Fiscal, así como de la lejanía del tiempo de cumplimiento definitivo de la misma en la apreciación llevada a cabo por las resoluciones impugnadas, lo que determinaría que la pérdida de la finalidad del amparo, caso de otorgarse el mismo, sería sólo parcial y puede atemperarse otorgando al recurso una tramitación preferente” (FJ 3). A lo anterior se añade la circunstancia de que la puesta en libertad del recurrente supondría, al menos parcialmente, un otorgamiento anticipado del amparo que se solicita, lo que desnaturalizaría el carácter cautelar de la medida (por todos, AATC 132/1982, de 31 de marzo, FJ único; 292/2005, de 4 de julio, FJ 2; 3/2006, de 16 de enero, FJ 2; 3/2011, de 14 de febrero, FJ único; o 92/2011, de 20 de junio, FJ 3). Ello conduce a la denegación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solicitada por doña María Josefa Uzkudun Etxeganusia en el recurso de amparo núm. 4169-2010.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