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11643-2006, promovido por don Pedro María Rezabal Zurutuza, representado por el Procurador de los Tribunales don José Javier Cuevas Rivas y bajo la dirección de la Letrada doña Ainoa Baglietto Gabilondo, contra el Auto de la Sección Primera de la Sala de lo Penal de la Audiencia Nacional de 20 de noviembre de 2006, dictado en la ejecutoria núm. 8-1989, por el que se desestima el recurso de súplica interpuesto contra la providencia de 5 de octubre de 2006, en la que se acuerda fijar fecha sobre licenciamiento definitivo. Ha intervenido el Ministerio Fiscal. Ha sido Ponente el Magistrado don Pablo Pérez Tremps,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28 de diciembre de 2006, el Procurador de los Tribunales don José Javier Cuevas Rivas, en nombre y representación de don Pedro María Rezabal Zurutuza, y bajo la dirección de la Letrada doña Ainoa Baglietto Gabilondo, interpuso recurso de amparo contra las resoluciones judiciales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condenado en las siguientes causas: En el sumario núm. 24-1985, procedente del Juzgado Central de Instrucción núm. 4, a sendas penas de veintiún años de reclusión mayor por cinco delitos de asesinato en grado de frustración, veintitrés años de reclusión mayor por un delito de atentado, tres años de prisión menor por un delito de detención ilegal y cinco años de prisión menor por un delito de utilización ilegítima de vehículo de motor ajeno. En el sumario núm. 24-1987, procedente del Juzgado Central de Instrucción núm. 4, a la pena de siete años de prisión mayor por un delito de estragos. En el sumario núm. 40-1987, procedente del Juzgado Central de Instrucción núm. 5, a las penas de siete años de prisión mayor por un delito de pertenencia a banda armada, seis años y un día de prisión menor por un delito de depósito de armas de guerra, seis años y un día de prisión menor por un delito de tenencia de explosivos, seis años y un día de prisión menor por un delito de estragos y dos años de prisión menor por un delito de estragos en grado de frustración. Y, por último, en el sumario 16-1986, procedente del Juzgado Central de Instrucción núm. 5, a la pena de diecinueve años de reclusión menor como cómplice de un delito de asesinato.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Segunda de la Sala de lo Penal de la Audiencia Nacional, mediante Auto de 29 de junio de 2001, dictado en la ejecutoria núm. 8-1989, acordó, de conformidad con los arts. 988 de la Ley de enjuiciamiento criminal y 70.2  del Código penal (CP), refundir las diversas condenas impuestas al recurrente y fijar en un máximo de treinta años el periodo de privación de libertad a cumplir. En virtud de ello, el centro penitenciario en que cumplía su pena el recurrente realizó un cómputo de liquidación de pena con fecha 9 de febrero de 2006, teniendo en cuenta las diversas redenciones, fijando el cumplimiento definitivo para el 30 de diciembre de 2006. El centro penitenciario mediante oficio de 31 de agosto de 2006 remitido a la Sección Segunda de la Sala de lo Penal de la Audiencia Nacional realizó dos diferentes propuestas de licenciamiento definitivo del recurrente, una aplicando la redención sobre los treinta años de condenas acumuladas y otra sobre el total de las condenas impuestas. El Ministerio Fiscal informó que, conforme la Sentencia de la Sala Segunda del Tribunal Supremo 197/2006, de 20 de febrero, las redenciones debían aplicarse en cada pena, por lo que el licenciamiento definitivo del recurrente debía demorarse hasta el 19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Segunda de la Sala de lo Penal de la Audiencia Nacional, mediante providencia de 5 de octubre de 2006, acordó el licenciamiento definitivo del recurrente para el día 19 de diciembre de 2016. Interpuesto recurso de súplica, en que se alegaba, entre otros aspectos, que el licenciamiento definitivo debía producirse el 30 de diciembre de 2006, habida cuenta de que las redenciones debían aplicarse sobre el límite máximo de cumplimiento de treinta años, fue desestimado por Auto de 20 de noviembre de 2006 con fundamento en que “a tenor de la sentencia de Tribunal Supremo núm. 197/2006, de fecha 28/02/06, en los supuestos de acumulación de condenas (fundamento de derecho cuarto), la redención como pretende el recurrente no puede aplicarse sobre el límite de 30 años de las condenas acumuladas, sino sobre todas y cada una de las condenas impuestas, empezando por la más grave, lo que hace, como señala el Ministerio Fiscal en su informe, que el licenciamiento debe producirse el 19/12/2016”.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fundamentales a la tutela judicial efectiva (art. 24.1 CE), a un proceso con todas las garantías (art. 24.2 CE), a la legalidad (art. 25.1 y 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(art. 24.1 CE) y a un proceso con todas las garantías (art. 24.2 CE), así como el derecho a un recurso efectivo [art. 14.5 del Pacto internacional de derechos civiles y políticos (PIDCP)], todo ello en relación con el art. 17 CE. Con cita de las SSTC 11/1987 y 123/2005, expone la demanda que la Audiencia Nacional, en la providencia de 5 de octubre de 2006, acordó una fecha de licenciamiento definitivo diferente a la propuesta por el centro penitenciario sin dar trámite de audiencia al recurrente, pese a que, como se reconoce posteriormente en el Auto de 20 de noviembre de 2006, se introdujo una perspectiva jurídica novedosa en cuanto al cómputo de las redenciones por trabajo derivada de la STS 197/2006, de 28 de febrero, que empeoraba la situación del reo y obligaba al cumplimiento íntegro de los treinta años, y respecto de la cual el recurrente no pudo defenderse ni someterla a contradicción. Entiende, además, que ello vulnera el principio acusatorio, porque el órgano judicial asume funciones acusatorias constitucionalmente vedadas. Por otra parte, sostiene el recurrente que la Audiencia Nacional, al dictar esta resolución sin oír a las partes y aplicar la doctrina del Tribunal Supremo, impide el derecho a una segunda instancia, pues el Tribunal Constitucional es el único órgano al que se ha podido dirigir el recurrente para reclamar el derecho a la defensa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y 2 CE), en relación con la interpretación de los arts. 70.2 y 100 CP 1973, así como de los arts. 66 del reglamento de prisiones de 1956 y del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 Finalmente, señala que en la práctica la Administración penitenciaria, con la aprobación de los Jueces de vigilancia penitenciaria y los Tribunales sentenciadores, han venido aplicando las redenciones siempre al tiempo de cumplimiento efectivo de la condena, descontándose del máximo de cumplimiento un día por cada dos trabajados. Criterio mantenido incluso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denuncia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las redenciones aprobadas por los Juzgados de Vigilancia Penitenciaria, intangibles y firmes, aplicadas —como se venía haciendo— al tope de treinta años, suponían un importante acortamiento de su condena de treinta años. El trabajo y los estudios en la prisión se realizaron en la confianza de que las redenciones así obtenidas implicarían un acortamiento del tiempo de permanencia en prisión, como en el caso de la STC 76/2004, habiéndose generado una expectativa de dicho acortamiento sobre la base de la actuación de los órganos judiciales hasta el momento. Esa expectativa se deriva, según el recurrente, de la mera aprobación de las redenciones por los Juzgados de Vigilancia Penitenciaria.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considera vulnerado el principio de legalidad (art.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15 de noviembre de 2010, acordó admitir a trámite la demanda de amparo y, en aplicación de lo dispuesto en el art. 51 de la Ley Orgánica del Tribunal Constitucional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206/2010, de 30 de diciembre, acordando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por diligencia de ordenación de 18 de mayo de 2011, tuvo por recibidos los testimonios interesados, y acordó, conforme al art. 52.1 LOTC, dar vista de las actuaciones, por un plazo común de veinte días, al Ministerio Fiscal y al recurrente para que pudieran presentar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30 de junio de 2011, interesó la estimación del amparo solicitado y la anulación de las resoluciones recurridas, por entender que éstas han vulnerado los derechos fundamentales de ejecución de las resoluciones judiciales en sus propios términos (art. 24.1 CE), legalidad penal (art. 25.1 CE), y de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ordenar de modo distinto al propuesto en la demanda los motivos de amparo. Es por ello que comienza por el examen del séptimo y último motivo expuesto, relativo a la vulneración del principio de legalidad penal (art. 25.2 CE) en el enunciado relativo al carácter rehabilitador y de reinserción social que deben tener las penas señaladas en el Código penal. En opinión del Ministerio Fiscal este motivo debe ser rechazado a limine porque el art. 25.2 CE no contiene un derecho fundamental del ciudadano susceptible de ser invocado en amparo, sino más bien un mandato destinado al legislador para orientar la política penal y penitenciaria. Además, la queja del recurrente no se centra en el contenido de los preceptos legales o reglamentarios, sino en la interpretación que de los mismos realiza la Audiencia Nacional, por lo que este motivo de amparo carece de autonomía y debe vincularse a otras infracciones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analiza —para rechazarlo— el primero de los motivos de amparo recogidos en la demanda, en el que se denuncia la falta de audiencia de la defensa con carácter previo a la aplicación de la nueva doctrina establecida por la Sala Segunda del Tribunal Supremo en su Sentencia 197/2006. El Ministerio Fiscal sostiene la carencia manifiesta de fundamento de este motivo, desde el momento en que la representación del actor ha hecho uso efectivo de este derecho a ser oído cuando interpuso recurso de súplica contra la providencia de 5 de octubre de 2006 formulando las alegaciones que tuvo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cuarto de los motivos de amparo, en el que se alega vulneración del art. 25.1 CE por aplicación retroactiva de normas desfavorables, sostiene el Ministerio Fiscal que —frente a lo afirmado en la demanda— no nos encontramos ante un supuesto de aplicación retroactiva del art. 78 CP 1995, sino ante un cambio de criterio jurisprudencial en la interpretación del art. 70.2 CP vigente al tiempo de comisión de los hechos, siendo este último precepto el que se ha aplicado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rechaza también la denunciada vulneración del derecho a la igualdad en la aplicación de la Ley (art. 14 CE). En primer lugar, porque el órgano judicial que ha dictado las resoluciones impugnadas (la Audiencia Nacional) es distinto de aquel que sentó la doctrina supuestamente discriminatoria (el Tribunal Supremo). Y, en segundo lugar, porque en todo caso el cambio de criterio se fundamenta razonablemente en la Sentencia de la Sala Segunda del Tribunal Supremo y tiene vocación de generalidad y permanencia, por lo que satisface las exigencias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considera conjuntamente los motivos enunciados en la demanda como motivos segundo (vulneración del principio de igualdad ex art. 25.1 y 2 en relación con el art. 9.1 CE), tercero (vulneración del derecho a la tutela judicial efectiva y a no padecer indefensión en relación con el derecho a la libertad personal, ex art. 17 CE) y sexto (vulneración del art. 17.1 CE en cuanto a la libertad personal del demandante de amparo). Para el Ministerio Fiscal el debate que sugiere la demanda de amparo debe partir de la existencia de un cambio de criterio, ya que, en primer lugar, el órgano judicial había dictado en ejecución de Sentencia el Auto de 29 de junio de 2001 acordando la acumulación de las condenas recaídas en diversos procesos, fijándose un máximo de cumplimiento de treinta años, en cuya virtud las liquidaciones de condena practicadas concluían una fecha de licenciamiento definitivo para el 30 de diciembre de 2006. Y, en segundo lugar, las resoluciones judiciales recurridas (providencia de 5 de octubre de 2006, que fija una nueva fecha de licenciamiento definitivo para el 19 de diciembre de 2016, y Auto de 20 de noviembre de 2006, que desestima el recurso de súplica interpuesto contra la anterior providencia) modificaron el inicial criterio como consecuencia de la concurrencia de esa nueva interpretación sobre refundición de penas efectuada en la STS de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el Ministerio Fiscal destaca que el criterio de legalidad de ejecución penal forma parte del contenido del principio de legalidad, de tal modo que resulta esencial determinar el tiempo de la resolución judicial que fijó la liquidación de condena y los criterios empleados para ello (Auto de 29 de junio de 2001), sin que a priori éstos puedan variarse en virtud de una resolución judicial posterior que interpreta las normas atinentes de otra manera (STS de 28 de febrero de 2006), pues la modificación de la primera resolución judicial, que se basa en una interpretación concreta de la normativa en juego, en atención a una nueva interpretación de dicha normativa comporta la vulneración del derecho a la intangibilidad de las resoluciones judiciales ex art. 24.1 CE. El Ministerio Fiscal reconoce que este derecho no ha sido expresamente alegado por la parte, a pesar de lo cual su denuncia se desprende cuando se argumenta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también señala que el derecho fundamental a la intangibilidad de las resoluciones judiciales tiene engarce con el principio de legalidad (art. 25.1 CE) en relación con la prohibición de retroactividad de las normas penales perjudiciales para el reo (art. 9.3 CE), ya que las garantías de legalidad y seguridad jurídica que exigen ambos preceptos constitucionales deben extenderse no sólo al enjuiciamiento de los hechos como tipicidad cierta, taxativa y previsible, sino también a la ejecución de las penas, de modo que la irretroactividad de las normas y su interpretación desfavorable al reo debe integrarse en el complejo de legalidad del art. 25.1 CE (con cita de jurisprudencia del Tribunal Europeo de Derechos Humanos). A partir de ello, el Ministerio Fiscal argumenta que en el asunto objeto del recurso de amparo “las resoluciones judiciales no se han limitado a variar la fecha de licenciamiento de conformidad con los extremos anejos al devenir del cumplimiento de la pena impuesta (por ejemplo, con datos relativos a la redención de penas por el trabajo) sino que han alterado éstos de manera desfavorable al reo, aportando una revisión interpretativa desfavorable que supone de facto la creación ex novo de un nuevo marco paranormativo que ha causado una extensión de la fecha de licenciamiento del interno, y una revisión de la aplicación de los beneficios de la redención de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destaca el Ministerio Fiscal que la vulneración del derecho a la libertad personal (art. 17.1 CE) resulta ser consecuencia inexcusable de las dos vulneraciones anteriores —derecho a la intangibilidad de las resoluciones judiciales (art. 24.1 CE) y legalidad penal en relación con la irretroactividad de lo desfavorable para el reo (art. 25.1 CE en relación con el art. 9.3 CE)—, ya que, a resultas de la nueva y desfavorable interpretación de la normativa en juego que las resoluciones judiciales han efectuado en contra del reo, éste obtiene el licenciamiento definitivo en fecha muy posterior a la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por escrito registrado el 20 de junio de 2011, formuló sus alegaciones en las que sustancialmente reproduce los argumentos ya expuestos en la demanda. Añade, en relación con el quinto motivo de amparo, la referencia a dos casos de condenados en el mismo procedimiento a los que no les fue aplicada la doctrina establecida en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febrero de 2012, el Pleno acuerda recabar para sí, a propuesta de la Sala Primera,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la decisión judicial de que al recurrente, en aplicación de la Sentencia de la Sala Segunda del Tribunal Supremo núm. 197/2006, de 28 de febrero, se le computen las redenciones sobre todas y cada una de las penas impuestas y no sobre el máximo de cumplimiento de treinta años acordado en el Auto de acumulación de condenas, vulnera los derechos fundamentales a la tutela judicial efectiva (art. 24.1 CE), a un proceso con todas las garantías (art. 24.2 CE), a la legalidad (art. 25.1 y 2 CE), a la libertad (art. 17.1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bajo la invocación de los derechos a la tutela judicial efectiva (art. 24.1 CE) y a un proceso con todas las garantías (art. 24.2 CE), se denuncia en primer lugar —y al margen de una vulneración del principio acusatorio carente del menor desarrollo argumental para que pueda ser tomada en consideración por este Tribunal— la indefensión generada por la Audiencia Nacional en su providencia de 5 de octubre de 2006, al fijar una fecha en el cómputo para la liquidación definitiva de la condena, conforme a lo solicitado por el Ministerio Fiscal, sin dar traslado previamente a la defensa para que se pronunciara al respecto, pese a que la propuesta del centro penitenciario ofrecía una fecha de licenciamiento definitivo alternativa a la que fue finalmente aprobada, cuestión esta que afectaba decisivamente a su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y aunque hubiera sido deseable que se hubiera dado trámite de audiencia, su ausencia no determina la existencia de las vulneraciones alegadas. En relación con el derecho fundamental a no padecer indefensión, este Tribunal ha declarado que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todas, SSTC 14/2008, de 31 de enero, FJ 3; 62/2009, de 9 de marzo, FJ 4; y 12/2011, de 28 de febrero, FJ 3). Pues bien, en el presente caso no concurre una situación material de indefensión efectiva constitucionalmente relevante, puesto que el recurrente pudo defenderse y someter a contradicción la aplicación de la nueva doctrina sobre el cómputo de la redención de pena en el recurso de súplica que interpuso, como de hecho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hecho se anuda, dentro de este primer motivo de amparo, una nueva vulneración del derecho defensa, así como del derecho al recurso y a una segunda instancia penal. Esta segunda vertiente de la queja tampoco puede ser asumida, puesto que el recurrente —en contra de lo que sostiene— sí tuvo acceso al recurso legalmente previsto (el recurso de súplica), que no fue inadmitido sino resuelto y desestimado por Auto de 20 de noviembre de 2006. Por otro lado, carece de fundamento constitucional la aplicación a un supuesto como éste de la doctrina relativa al doble grado de jurisdicción en materia penal, puesto que no está en cuestión el derecho a la revisión del fallo condenatorio y la pena por un Tribunal superior. Este es el derecho consagrado en el art. 14.5 del Pacto internacional de derechos civiles y políticos (PIDCP) y en el art. 2 del Protocolo 7 del Convenio europeo para la protección de los derechos humanos y de las libertades fundamentales (ratificado por España el 28 de agosto de 2009, “BOE” de 15 de octubre de 2009) y que forma parte de las garantías del proceso justo consagradas en el art. 24.2 CE (por todas, SSTC 42/1982, de 5 de julio, FJ 3; 76/1982, de 14 de diciembre, FJ 5; 70/2002, de 3 de abril, FJ 7; y 116/2006, de 24 de abril, FJ 5), sin que sea posible extender el alcance de la citada garantía —como pretende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este grupo de quejas articuladas como primer motivo de amparo, en los restantes motivos se denuncia desde diversas perspectivas constitucionales la cuestión de fondo, esto es, la aplicación al presente caso de un nuevo criterio jurisprudencial en la interpretación de los arts. 70.2 y 100 del Código penal de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había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como quedó reflejado en los antecedentes, la vulneración del principio de igualdad en la aplicación de la ley (art.14);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Todo ello en la medida en que la aplicación del nuevo criterio de cómputo de las redenciones de penas por trabajo modifica sus expectativas de alcanzar la libertad en un plazo menor al de treinta años de cumplimiento efectivo, ya que con el anterior criterio de cómputo las redenciones se descontarían de ese límite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cual, hemos de comenzar precisando cuáles son los derechos fundamentales en juego y cuál ha de ser nuestro parámetro de enjuiciamiento en esta materia. No obstante, con carácter previo, conviene aclarar que el objeto del presente recurso de amparo no lo constituye la Sentencia 197/2006, de 28 de febrero, dictada por la Sala Segunda del Tribunal Supremo, sino que nuestro examen se ha de limitar a la consideración de la respuesta judicial que para el caso concreto se contiene en las resoluciones recurridas, en las que acuerda la acumulación de la condenas del recurrente, fijando el límite máximo de cumplimiento y la aplicación como criterio de cómputo de las redenciones el establecido con carácter previo en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Ministerio Fiscal, la resolución dictada por la Audiencia Nacional se limita a aplicar la doctrina sentada con anterioridad por otro órgano judicial, el Tribunal Supremo, máximo intérprete de la ley, justificando el cambio de criterio en el cómputo de las redenciones de penas por el trabajo, frente a otros supuestos resueltos con anterioridad, precisamente en aplicación de esa doctrina. Por tanto, en el presente caso no puede apreciarse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judiciales recurridas vulneró su derecho a la tutela judicial efectiva (art. 24.1 CE) en relación con su derecho a la libertad (art. 17.1 CE), lo que —según se argumenta en los motivos de amparo tercero y sexto— habría sucedido en el presente caso, en la medida en que la aplicación del nuevo criterio jurisprudencial de cómputo de la redención de penas por trabajo implicó la defraudación de una legítima expectativa de alcanzar la libertad en un momento anterior al cumplimiento efectivo del máximo de treinta años establecido en el art. 70.2 CP 1973 consolidada en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análisis nos obliga a tomar en consideración una serie de datos del caso concreto, que se desprenden del examen de las actuaciones recibidas, y de los que se infiere que no existe en el presente caso ninguna resolución judicial firme de la que pueda derivarse el efecto pretendido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con mayor amplitud se ha hecho constar en los antecedentes, la Sección Segunda de la Sala de lo Penal de la Audiencia Nacional, mediante Auto de 29 de junio de 2001, acordó, de conformidad con los arts. 988 de la Ley de enjuiciamiento criminal y 70.2 CP, refundir las diversas condenas impuestas al recurrente en cuatro procedimientos diferentes y fijar en un máximo de treinta años el periodo de privación de libertad a cumplir. Igualmente, se constata que el centro penitenciario en que cumplía su pena el recurrente realizaba los diversos cómputos de liquidación de pena sobre el máximo de cumplimiento, pero no hay ninguna resolución judicial relevante del Tribunal sentenciador en la ejecutoria hasta que, mediante la providencia de 5 de octubre de 2006 que es objeto de esta pretensión de amparo, el Tribunal asumió la propuesta de cumplimiento definitivo de condena del demandante realizada por el centro penitenciario en el que se encontraba en ese momento interno, aplicando el cómputo sobre cada una de las penas impuesta y no sobre el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existen resoluciones judiciales de las que pueda derivarse el efecto de intangibilidad respecto al criterio de cómputo de las redenciones pretendido. Así, en cuanto a las resoluciones del Juzgado de Vigilancia Penitenciaria en que se reconocen los días de redención de pena por el trabajo u otras actividades realizadas,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y reconoce un determinado número de días redimidos que, posteriormente, el Tribunal sentenciador ha de computar en la liquidación de condena cuando la misma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atribuir tal efecto al Auto de 29 de junio de 2001. Este Auto se limita a acumular las condenas impuestas al recurrente, fijando como máximo de cumplimiento treinta años de privación de libertad, en aplicación de la regla segunda del art. 70 CP 1973. No existe en el mismo Auto referencia alguna a la redención de penas por el trabajo o al criterio de cómputo de las mismas, ni puede concluirse que dicho criterio sea determinante para la decisión que se adopta. Tan sólo el límite máximo de cumplimiento devenía inmodificable y no podía ser alterado. Ahora bien, las resoluciones impugnadas no afectan al límite de cumplimiento establecido, que no aparece comprometido ni modificado por la fecha de licenciamiento definitivo que se acuerda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no cabe apreciar la denunciada vulneración del derecho a la tutela judicial efectiva en su vertiente de intangibilidad de las resoluciones judiciales firmes (art. 24.1 CE) ni, tampoco por esta causa, la vulneración del derecho a la libertad personal (art. 17.1 CE). En efecto, ni puede afirmarse la existencia de una resolución judicial firme e intangible anterior de la que se derive la aplicación al caso de un criterio de cómputo de las redenciones de pena por trabajo distinto del aplicado por las resoluciones recurridas, ni que el recurrente tuviera por ello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 por don Pedro María Rezabal Zurutuza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avocado núm. 11643-2006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debo manifestar mi discrepancia con el fallo alcanzado en este asunto, manifestación que dejo patente en tanto que soy Ponente de la presente Sentencia y, en dicha condición, recojo en ella una opinión mayoritaria contraria a mi criterio. En cuanto a las razones sustantivas de mi discrepancia basta con remitirme a la opinión concurrente dictada en el recurso de amparo avocado núm. 4893-2006, donde ya expuse el razonamiento por el que concluyo que, en asuntos como el presente, ha existido una vulneración del art. 17.1 CE que debería haber conducido al otorgamiento del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el recurso de amparo núm. 11643-2006.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t>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