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2251-2010, promovido por don Isidro Garalde Bedialauneta, representado por el Procurador de los Tribunales don José Javier Cuevas Rivas y asistido por la Letrada doña Hailea Ziluaga Larreategi, contra Auto de la Sección Tercera de la Sala de lo Penal de la Audiencia Nacional de 26 de enero de 2010, que desestima el recurso de súplica interpuesto contra la providencia de 2 de diciembre de 2009, por la que se ordena al centro penitenciario elaborar la liquidación de condena conforme al criterio fijado en la Sentencia de la Sala Penal del Tribunal Supremo 197/2006.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marzo de 2010, don José Javier Cuevas Rivas, Procurador de los Tribunales, y de don Isidro Garalde Bedialauneta,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en el sumario 1-1982 del Juzgado Central núm. 4 mediante Sentencia de 15 de noviembre de 1993, en calidad de autor de un delito de atentado a la pena de veintiséis años de reclusión mayor; tres delitos de asesinato, consumados, a la pena de treinta años de reclusión mayor; un delito de atentado a la autoridad, en concurso ideal con un delito de asesinato frustrado cualificado por el uso de explosivos; un delito de estragos a once años de prisión mayor; y dos delitos de lesiones graves a las penas, respectivamente, de once años de prisión mayor. Posteriormente en el sumario 9-1990 del Juzgado Central núm. 5, mediante Sentencia de 30 de junio de 1995, fue condenado en calidad de autor de los delitos de atentado en relación con el de asesinato, utilización ilegítima de vehículo de motor y de falsificación de placas de matrícula, a las penas de veinte años de reclusión menor, tres años de prisión menor y tres años de prisión menor,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Sala de lo Penal de la Audiencia Nacional acordó mediante Auto de 22 de octubre de 2002 la refundición de tales condenas. Su fundamento jurídico único dice expresamente: “Los delitos cometidos por el penado Isidro María Garalde Bedialauneta presentan entre sí clara conexión jurídica y cronológica que hubiera permitido enjuiciarlos en un solo proceso como incursos en el número 5 del artículo 17 de la Ley de Enjuiciamiento Criminal, por lo que, de conformidad con lo preceptuado por el artículo 988 de la misma Ley, en relación con lo dispuesto en la regla 2ª del artículo 70 del Código Penal vigente en el momento de comisión de los hechos, es procedente acumular las condenas impuestas a dicho penado que se expresan en el antecedente segundo, y fijar el máximo de la condena total en las mencionadas causas en TREINTA AÑOS de privación de libertad”. Y en el fallo la Sala acuerda “Acumular las condenas impuestas al penado Isidro María Garalde Bedialauneta en las causas Sº 1/82 C-4 y Sº 9/90 C-5, fijándose en una duración de TREINTA AÑOS de privación de libertad el tiempo total de cumplimiento de todas las penas privativas de libertad impuestas en las causas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12 de noviembre de 2009 tuvo entrada en la Sección Tercera de Sala de lo Penal de la Audiencia Nacional un oficio del Centro Penitenciario Puerto de Santa María, en el que consultaba si era aplicable al recurrente la doctrina emanada de la STS 197/2006, de 28 de febrero, toda vez que de no aplicarse la misma la fecha de licenciamiento sería el 2 de febrero de 2010 de acuerdo con las redenciones ordinarias consignadas en la hoja de cálculo y certificación de retenciones que se adjuntaba. La Sala, una vez evacuado el traslado conferido al Fiscal, dictó providencia de 2 de diciembre de 2009 acordando que “procede aplicar al interno la doctrina establecida por la STS 197/2006”, contra la cual se interpuso recurso de súplica desestimado por Auto de 26 de enero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fundamenta su demanda de amparo en la vulneración de los derechos fundamentales a la legalidad (art. 25.1 y 2 CE), a la tutela judicial efectiva (art. 24.1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así como el derecho a un recurso efectivo [art. 14.5 del Pacto internacional de derechos civiles y políticos (PIDCP)], todo ello en relación con el art. 17 CE. Con cita de las SSTC 11/1987 y 123/2005, expone la demanda que la Audiencia Nacional, en la providencia de 2 de diciembre de 2009, acordó la aplicación de la nueva doctrina del Tribunal Supremo sin dar traslado a la defensa del señor Garalde Bedialauneta, pese a que hasta ese momento el criterio aplicado era otro, introduciéndose una perspectiva jurídica novedosa en cuanto al cómputo de las redenciones por trabajo, que empeoraba la situación del reo y obligaba al cumplimiento íntegro de los treinta años, y respecto de la que el recurrente no pudo defenderse ni someterla a contradicción. Entiende además que ello vulnera el principio acusatorio, porque el órgano judicial asume funciones acusatorias constitucionalmente vedadas. Por otra parte, sostiene el recurrente que la Audiencia Nacional, al dictar esa resolución mediante providencia, por entender erróneamente que se trataba de simple ejecución de la Sentencia del Tribunal Supremo de 28 de febrero de 2006 (STS 197/2006) cuando esta resolución sólo es firme para el señor Parot, determina que el único remedio que quepa sea el recurso de súplica ante el mismo órgano judicial, impidiendo el derecho a someter la cuestión ante un órgano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del Código penal (CP) de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De lo contrario, y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penitenciaria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y cuarto motivo de amparo denuncian la vulneración del derecho a la tutela judicial efectiva (art. 24.1 CE), en relación con el derecho a la libertad (art. 17 CE). Sostiene la demanda que la nueva interpretación del cómputo de las redenciones sobre la totalidad de la condena le genera indefensión e inseguridad jurídica, puesto que las redenciones aprobadas por los Juzgados de Vigilancia Penitenciaria, intangibles y firmes, aplicadas —como se venía haciendo— al tope de treinta años, suponían un importante acortamiento de su condena de treinta años. El trabajo y los estudios en la prisión se realizaron en la confianza de que las redenciones así obtenidas implicarían un acortamiento del tiempo de permanencia en prisión, como en el caso de la STC 76/2004, habiéndose generado una expectativa de dicho acortamiento sobre la base de la actuación de los órganos judiciales hasta el momento. Esa expectativa se deriva, según el recurrente, de la mera aprobación de las redenciones por los Juzgados de Vigilancia Penitenciaria y también del Auto de refundición de condenas de 22 de octubre de 2002, que según el recurrente fija de modo firme e intangible en treinta años la pena acumulada a la que procederá aplicar los beneficios.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y el Auto de refundición de condenas de 22 de octubre de 2002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se considera vulnerado el principio de legalidad (art.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séptimo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En el caso, el señor Garalde ha cumplido un tiempo de estancia efectiva en prisión al que deberían sumarse las redenciones ordinarias y extraordinarias y licenciarlo cuando el cómputo de ambas llegue a 10.950 días, es decir al máximo de 30 años previsto en el art. 70.2 CP 1973. Sin embargo, las resoluciones recurridas retrasan la puesta en libertad del recurrente hasta el cumplimiento de los treinta años íntegros y, por tanto, violan el art. 17 CE y los arts. 5 y 15.1 del Convenio europeo para la protección de los derechos humanos y de las libertades fundamentales, así como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de 2011, la Sala Segunda de este Tribunal acordó la admisión a trámite de la demanda así como, a tenor de lo establecido en el art. 51 de la Ley Orgánica del Tribunal Constitucionales (LOTC), requerir atentamente al servicio de ejecutorias, a fin de que remita testimonio de las actuaciones correspondientes a la ejecutoria núm. 58-1995, interesándole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Sala Segunda de este Tribunal acordó formar pieza separada para la tramitación del incidente sobre suspensión y, conforme determina el art. 56 LOTC, conceder un plazo común de tres días a la parte actora y al Ministerio Fiscal para que aleguen lo que estimen pertinente. Evacuado dicho trámite, la Sala Segunda, por Auto de 6 de junio de 2011,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3 de noviembre de 2011 se acordó dar vista de las actuaciones a la parte recurrente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diciembre de 2011 presentó sus alegaciones el Fiscal, interesando la estimación del amparo solicitado y la anulación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sosteniendo que por razones sistemáticas procede abordar los motivos de modo distinto al propuesto en la demanda de amparo. Es por ello que empieza por el examen del octavo y último motivo expuesto, relativo a la vulneración del principio de legalidad penal (art. 25.2 CE) en el enunciado relativo al carácter rehabilitador y de reinserción social que deben tener las penas señaladas en el Código penal. En opinión del Ministerio Fiscal este motivo debe ser rechazado a limine porque el art. 25.2 CE no contiene un derecho fundamental del ciudadano susceptible de ser invocado en amparo, sino más bien un mandato destinado al legislador para orientar la política penal y penitenciaria.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el Ministerio Fiscal que los motivos segundo y quinto tengan suficiente eficacia suasoria. De un lado, “no parece que en el caso de autos, y a los efectos de una posible vulneración del principio de legalidad (art. 25.1) la interpretación que las resoluciones judiciales ahora recurridas en amparo hacen del art. 70.2 CP de 1973 en exégesis derivada de la STS (Pleno de la Sala 2ª TS) 197/2006, de 28 de febrero, se base en una subsunción ajena al significado posible de los términos de la norma aplicada o se base en una argumentación ilógica o indiscutiblemente extravagante o ajena a los criterios que informan nuestro ordenamiento constitucional o conduzcan a soluciones esencialmente contrarias u opuestas a la orientación material de la norma y por ello imprevisible para sus destinatarios (por todas, SSTC 151/2005, de 6 de junio y 283/2006, de 9 de octubre), sin que corresponda por ende al Tribunal Constitucional dilucidar, como acontece en el caso de autos, cuál de las posibles interpretaciones o criterios jurisprudenciales es el más adecuado a la norma en juego”. De otro, “no tiene fundamento alguno sostener que se ha vulnerado dicho principio de irretroactividad de la ley penal por haber hecho aplicación del contenido del art. 78 CP 1995 bajo el ropaje aparente del art. 70.2 CP 1973, toda vez que el precepto que se ha aplicado ha sido siempre el art. 70.2 CP 1973, de vigencia al tiempo de comisión de los hechos, y sobre el que ha recaído la interpretación sentada en la Sentencia de la Sala de lo Penal del Tribunal Supremo núm. 197/2006, de 20 de febrero, y no el art. 78 CP 1995”. En fin, “se cita todo ello además en relación con el derecho fundamental a la libertad personal (art. 17 CE). Pero tal cita debe considerarse ínsita en la argumentación de denegación de la irretroactividad contra reo que hemos expuesto más arriba. Si no concurre tal defecto constitucional en la aplicación al reo de la doctrina derivada de la STS del Pleno de la Sala Segunda del Tribunal Supremo 197/2006, de 28 de febrero, tampoco puede deducirse que el no licenciamiento del Sr. Garalde en la fecha prevista de no concurrir tal doctrina haya comprometido constitucionalmente su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denunciada vulneración del derecho a la igualdad en la aplicación de la Ley (art. 14 CE). En primer lugar, porque el órgano judicial que ha dictado una de las resoluciones impugnadas (la Audiencia Nacional) es distinto de aquél que sentó la doctrina supuestamente discriminatoria (el Tribunal Supremo). Y, en segundo lugar, porque en todo caso la Sentencia de la Sala Segunda del Tribunal Supremo a la que se atribuye el cambio de criterio, el cual ha sido asumido como ratio decidendi por todas la resoluciones impugnadas, había recogido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considera vulnerado el derecho a la intangibilidad de las resoluciones judiciales (art. 24.1 CE). Así, aun reconociendo que la STC 174/1989 pudiera avalar un criterio distinto, sostiene que “no parece que puedan ser calificadas como resoluciones judiciales de naturaleza intangible las liquidaciones de condena habida cuenta de la extremada fluidez de la vida de cumplimiento penitenciario cuando entre en juego, como sucede en el caso de autos, la institución de la redención de penas, en sí mismas consideradas”. Otra cosa acontece, sigue diciendo, “con la refundición de penas ex art. 70, regla 2ª, CP 1973 o en el vigente 76.1 CP. El Auto en que se fijara la refundición, si no es recurrido, o si siéndolo en cuanto a lo que acontezca en el resultado final del recurso, debe reputarse como firme y su consecuencia debe ser en principio la intangibilidad del mismo. La razón es obvia; se opera sobre una realidad, refundir condenas, y sobre una norma, en el caso de autos la regla 2ª del art. 70 CP”. Y en relación a esta segunda cuestión argumenta que en lo que hace a este caso concreto “[a] priori no entendemos como de recibo que establecidos unos criterios de interpretación normativa para fijar la refundición de condena (Auto de 22 de octubre de 2002) y establecidos ellos en resolución judicial, pudieran variarse en virtud de una posterior resolución, como son las resoluciones judiciales ahora recurridas en amparo, por vía de remisión a la STS 197/06, de 28 de febrero, que interpreta de otra manera las normas atinentes”. Según el Fiscal, “ello comporta la vulneración del derecho a la intangibilidad de las resoluciones judiciales ex art. 24.1 CE (por todas, STC 209/05, de 4 de julio), enumerado como tal en el cuarto de los motivos de amparo del presente recurso, y que además de alguna manera se desprende cuando se argumenta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su juicio, este “derecho fundamental tiene engarce con el principio de legalidad (art. 25.1 CE) en relación con la prohibición de retroactividad de las normas penales perjudiciales para el reo (art. 9.3 CE, por todas 223/1997 y STEDH Streletz, Kessler, y Krenz vs Alemania de 22 de marzo de 2001), ya que las garantías de legalidad y seguridad jurídica que exigen ambos preceptos constitucionales deben extenderse no sólo al enjuiciamiento de los hechos como tipicidad cierta, taxativa y previsible (por todas, SSTC 196/2002, y 111/2004), sino que lo es asimismo para con la ejecución de las penas, integrándose la irretroactividad de las normas, y su interpretación, desfavorables al reo en el complejo de legalidad del art. 25.1 CE (vid. STEDH Puhk v. Estonia de 10 de febrero de 2004).”. En efecto, “en el hecho de autos las resoluciones judiciales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que supone de facto la creación ex novo de un nuevo marco paranormativo que ha causado una extensión de la fecha de licenciamiento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estas dos vulneraciones debe conectarse y adicionarse la consecuencia inexcusable de ellas, la vulneración del derecho a la libertad personal (art. 17.1 CE), por cuanto en vez de obtener en la fecha prevista el licenciamiento definitivo lo sería en fecha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“[l]a consecuencia de todo ello es la estimación del amparo por todas esas vulneraciones, derecho a la intangibilidad de las resoluciones judiciales (art. 24.1 CE), en relación con el principio de legalidad penal en relación con la irretroactividad de lo desfavorable para el reo (art. 25.1 en relación con el art. 9.3 CE) y 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9 de diciembre de 2011,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representación procesal presentó en este Tribunal escrito de fecha 5 de diciembre de 2011 solicitando la suspensión de los efectos de la aplicación de la Sentencia del Tribunal Supremo 197/2006, de 28 de febrero, pues a su juicio está produciendo tal perjuicio al recurrente que hace perder al amparo su finalidad, alegando que el art. 56.4 LOTC le habilita para pedir esta suspensión a pesar que la misma ya fue solicitad previamente y denegada por Auto de 6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propuesta de la Sala Segunda, el Pleno, en su reunión de 17 de enero de 2012 y conforme al art. 10.1 n) LOTC,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mediante providencia de 31 de enero de 2012, acordó, respecto de la solicitud de suspensión de 5 de diciembre de 2011 que “no ha lugar a lo solicitado en el mismo, toda vez que la suspensión interesada se refiere a una resolución judicial (STS 197/2006, de 28 de febrero) no recurrida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Tercera Sala de lo Penal de la Audiencia Nacional de 26 de enero de 2010, que desestima el recurso de súplica interpuesto contra la providencia de 2 de diciembre de 2009, por la que se ordena al centro penitenciario elaborar la liquidación de condena conforme al criterio fijado en la Sentencia de la Sala Penal del Tribunal Supremo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legalidad (art. 25.1 y 2 CE), a la tutela judicial efectiva (art. 24.1 CE), a la libertad (art. 17.1 CE) y a la igualdad en la aplicación de la ley (art. 14 CE), con la argumentación que queda ampliamente expuesta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entender concurrente la vulneración de los derechos fundamentales consagrados en los arts. 24.1, 25.1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recordábamos en la reciente STC 89/2011, de 6 de junio,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de la Ley Orgánica del Tribunal Constitucional (LOTC) (por todas, STC 69/2004, de 19 de abril, FJ 3)”.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recordábamos en la STC 174/2011 de 7 de noviembre, FJ 2,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demandante de amparo impugna la providencia de la Sección Tercera Sala de lo Penal de la Audiencia Nacional de 2 de diciembre de 2009, por la que se ordena al centro penitenciario elaborar la liquidación de condena conforme al criterio fijado en la Sentencia de la Sala Penal del Tribunal Supremo 197/2006, y el Auto de 26 de enero de 2010 por el que se desestima el recurso de súplica interpuesto contra aquélla. De todo ello se desprende que el demandante de amparo ha acudido directamente ante este Tribunal sin hacer uso del recurso de casación ante 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cuanto que lo resuelto en ellos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íntegramente despejada casi dos años antes de pronunciarse las resoluciones impugnadas mediante el Auto del Tribunal Supremo de 7 de abril de 2008, dictado precisamente resolviendo un recurso de queja contra la denegación de la preparación de un recurso de casación contra el Auto desestimatorio del recuro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acumuladas, abona la recurribilidad en casación de los autos de licenciamiento definitivo en cuanto concretan y fijan definitivamente el máximo de cumplimiento respecto de las penas que se acumulan, fijación de criterio jurisprudencial que no podía ser ignorada, tanto tiempo después por la representación procesal y la defensa letrada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que antecede resulta procedente dictar Sentencia inadmitiendo el recuso de amparo por falta de agotamiento de la vía judicial previa [art. 44.1a) LOTC].</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Isidro María Garalde Bedialauneta contra la providencia de la Sección Tercera Sala de lo Penal de la Audiencia Nacional de 2 de diciembre de 2009 y contra el Auto de 26 de enero de 2010 por el que se desestima el recurso de súplica interpuesto contra la providencia 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