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438-2010, promovido por don Joseba Iñaki Uridain Ziriza, representada por el Procurador de los Tribunales don José Javier Cuevas Rivas y asistido por la Letrada doña Amaia Izko Aramendia, contra el Auto de la Sección Tercera de la Sala de lo Penal de la Audiencia Nacional, de 1 de diciembre de 2009, que desestima el recurso de súplica interpuesto contra la providencia de 3 de noviembre de 2009, que establece el licenciamiento definitivo de la condena para el día 4 de abril de 2019.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19 de enero de 2010, don José Javier Cuevas Rivas, Procurador de los Tribunales, y de don Joseba Iñaki Uridain Ziriza,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resultó ejecutoriamente condenado en Sentencia de la Audiencia Nacional núm. 14/1993, de 20 de abril (sumario 11-1988 del Juzgado Central de Instrucción núm. 1), a la pena de catorce años de reclusión menor por el delito de detención ilegal cualificado; en Sentencia de la Audiencia Nacional núm. 7/1993, de 9 de marzo (sumario 33-1988 del Juzgado Central de Instrucción núm. 1), a la pena de veinticinco años de reclusión mayor por el delito de atentado contra miembro de un cuerpo de seguridad del Estado, a la pena dieciocho años de reclusión menor por el delito de asesinato frustrado, y a la pena de once años de prisión mayor por el delito de estragos agravado; en Sentencia de la Audiencia Nacional núm. 38/1993, de 19 de octubre (sumario 66-1986 del Juzgado Central de Instrucción núm. 5), a la pena de treinta años de reclusión mayor por un delito de atentado, de veinte años de reclusión menor por un delito de asesinato frustrado; en Sentencia de la Audiencia Nacional núm. 37/1993, de 19 de octubre (sumario 24-1987 del Juzgado Central de Instrucción núm. 5), a la pena de veintinueve años de reclusión mayor por delito de atentado con resultado de muerte; y a la pena de veinticuatro años de reclusión mayor por cada uno de los 7 delitos de asesinato a que fue condenado; en Sentencia de la Audiencia Nacional núm. 45/1994, de 13 de junio (sumario 50-1984 del Juzgado Central de Instrucción núm. 5), a la pena de veintisiete años de reclusión mayor por delito de utilización ilegítima de vehículo de motor ajeno con la causación dolosa de la muerte de la víctima; y en Sentencia de la Audiencia Nacional núm. 1/1996, de 11 de enero (sumario 1-1985 del Juzgado Central de Instrucción núm. 5), a la pena de veintidós años de prisión por delito de atentado, de doce años de prisión mayor y privación del permiso de conducir por cinco años por cada uno de los cuatro delitos de utilización ilegítima de vehículo de motor ajeno, agravados por la toma de rehenes y el uso de armas, de doce años de prisión mayor por cada uno de los tres delitos de robo con intimidación, y a la pena de veintidós años de reclusión mayor por cada uno de los dos delitos de asesinato frustrado.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10 de febrero de 1998, la Sección Tercera de la Sala de lo Penal de la Audiencia Nacional acordó acumular las condenas impuestas en las causas 11-1988 y 33-1988, del Juzgado Central núm. 1, y las causas 50-1984 y 1-1985 del Juzgado Central núm. 5, fijándose el límite de treinta años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12 de mayo de 1998, el citado órgano judicial acordó acumular a las anteriores las causas 66-1986 y 24-1987 del Juzgado Central núm. 5 y fijar el límite total de cumplimiento en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6 de junio de 2008, recibido en la Sección Tercera de la Sala de lo Penal de la Audiencia Nacional, el centro penitenciario de Valencia efectuó propuesta de licenciamiento definitivo del penado para el día 9 de octubre de 2009. A la vista de la propuesta, la Sala dio traslado al Ministerio Fiscal para que se pronunciara sobre la aplicación al caso de los criterios introducidos por la Sentencia del Tribunal Supremo 197/2006, de 28 de febrero, mostrándose el Fiscal a favor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Tercera de la Sala de lo Penal de la Audiencia Nacional mediante providencia de fecha 7 de octubre de 2009 requirió al centro penitenciario a fin de que presentara nueva propuesta de licenciamiento definitivo conforme a la doctrina de la Sala Segunda del Tribunal Supremo en Sentencia 197/2006, de 28 de febrero. Realizada dicha propuesta, en la que se estableció la fecha de licenciamiento definitivo para el día 4 de abril de 2019, siendo aprobada por providencia de 3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providencia interpuso el actor recurso de súplica. La Audiencia Nacional acordó desestimar la súplica mediante Auto de 1 de diciembre de 2009. Dicho Auto señala en sus fundamentos jurídicos que la aprobación de la nueva fecha de licenciamiento es el resultado de la aplicación de los criterios sentados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refiere al principio de legalidad (art. 25.1 y 2 CE), en relación con la interpretación de los arts. 70.2 y 100 del Código penal (CP) de 1973, así como del art. 66 del reglamento de prisiones de 1956 y del art. 202 del reglamento penitenciario actual. Se denuncia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1973,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derecho a la tutela judicial efectiva (art. 24.1 CE), en relación con el derecho a la libertad (art. 17.1 CE). Estima el recurrente que, a raíz de la nueva interpretación de la aplicación de las redenciones de penas por el trabajo sobre la totalidad de las condenas y no sobre la pena resultante de la aplicación de la reducción de condenas (art. 70.2 CP 1973), han creado las resoluciones impugnadas una situación de indefensión e inseguridad jurídica, por cuanto la aprobación de redenciones por parte de los diferentes Juzgados de Vigilancia Penitenciaria, firmes e intangibles, suponían con la interpretación hasta la STS 197/2006, reducciones de condena respecto de los treinta años. Y es que así se interpretaba y aplicaba por todos los órganos judiciales y administrativo-penitenciarios, sin excepción. Las redenciones de pena reconocidas por resoluciones judiciales firmes son abono de condena y por tanto, afectan al derecho a la libertad consagrado en el art. 17 de la Constitución, lo cual implica la existencia de un deber reforzado de motivación, derivado del art. 24.1 CE, que no se cumple en las resoluciones dictadas por el Tribunal de instancia y contra las que ahora se recurre. Ambas resoluciones deberían explicar las razones por las que limitan la libertad demandante y cambian el criterio hasta el momento mantenido, no bastando, en modo alguno, la remisión que realizan a la Sentencia 197/2006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aduce la vulneración del derecho fundamental a la tutela judicial efectiva, establecido en el artículo 24.1 de la Constitución Española, resultante de la vulneración del derecho a la intangibilidad de las resoluciones judiciales firmes, en relación igualmente a los principios de legalidad y seguridad jurídica. Recuerda que en su procedimiento se acordó acumular las condenas impuestas al penado fijándose treinta años de privación de libertad el tiempo total de cumplimiento de la condena. Consecuencia de ello se solicitó por el centro penitenciario la aprobación del licenciamiento definitivo para el día 9 de octubre de 2009, fecha resultante de la redención de penas por el trabajo a la pena única de treinta años de prisión. En este sentido, argumenta, no sólo existe una expectativa de reducción de la condena y consecuentemente de libertad, sino que nos encontramos con una resolución firme, nunca cuestionada y nunca modificada, por la que se acumulan todas las condenas impuestas en una única, de donde se deriva la correspondiente liquidación de condena y cuya consecuencia es la aplicación a la misma de la institución de la redención de penas por el trabajo. Las resoluciones judiciales ahora impugnadas atrasan gravemente la fecha de licenciamiento definitivo del recurrente y modifican el criterio uniforme que fijaba los criterios para la ejecución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queja el demandante en amparo de la lesión del principio de legalidad (art. 25.1 y 9.3 CE), por aplicación retroactiva de ley desfavorable; se denuncia que, con esta pretendida nueva interpretación, de facto se está aplicando retroactivamente el art. 78 CP 1995 (que establece que los beneficios penitenciarios y la libertad condicional se apliquen a la totalidad de las penas impuestas en las Sentencias), a un penado bajo el Código penal de 1973.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lo que hace evidente que el Código penal de 1973 no contempla la aplicación de las redenciones a la totalidad de las condenas, una previsión que sí realiza el art. 78 CP 1995 y que es desfavorable. También se destaca que las modificaciones legales en esta materia se realizaron, como se pone de relieve en sus exposiciones de motivos,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al derecho a la igualdad en la aplicación de la ley (art. 14 CE). Con cita de la STC 144/1988, de 12 de julio,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y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criterio aplicado a cientos de presos, en un momento en que la norma (Código penal de 1973) ya está derogada y cuando la nueva interpretación resulta aplicable a un número muy limitado de presos y sin que existan razones fundadas que justifiquen el cambio.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libertad (art. 17.1 CE), tras poner de relieve que, conforme a la jurisprudencia de este Tribunal, la redención de penas por el trabajo afecta al derecho a la libertad (SSTC 31/1999, de 8 de marzo, y 76/2004, de 26 de abril), se denuncia que el mencionado cambio de criterio jurisprudencial contra el reo modifica su expectativa de libertad, implicando un alargamiento de su estancia en prisión, sin base legal ni reglamentaria (se cita de nuevo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una suerte de tiempo virtual, como señala la STS de 5 de abril de 2001. Esto queda patente en la inicial liquidación de condena y propuesta de licenciamiento definitivo efectuada por el centro penitenciario, por lo que la denegación del licenciamiento definitivo viola el art. 17 CE, el art. 7.1 del Convenio europeo y el art. 15.1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vulnerado el art. 25.2 CE, en relación con el art. 10.3 PIDCP; se destaca que, de conformidad con el art. 25.2 CE, las penas privativas de libertad han de estar orientadas a la reinserción social, fin al que se orienta la redención de penas por el trabajo como instrumento de tratamiento penitenciario, y que la nueva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14 de abril de 2011,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30 de enero de 2012, acordando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12 de abril de 2012, una vez recibido testimonio de las actuaciones judiciales requeridas, se otorgó, conforme al art. 52.1 LOTC, un plazo común de veinte días a las partes para que alegaran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22 de mayo de 2012, interesó la inadmisión del recurso de amparo. Citando las SSTC 58/2012, 60/2012, y 63/2012, todas de 29 de marzo, considera que no satisface el requisito del agotamiento de la vía judicial previa [art. 50.1 a) en relación con art. 44.1 a) LOTC], al no haber interpuesto recurso de casación contra el Auto que desestimó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solicitó la desestimación de la demanda, en aplicación de diversas Sentencias dictadas recientemente por el Pleno del Tribunal Constitucional que han resuelto supuestos y quejas idénticas a la que motiva el presente recurso. Cita a tal efecto las SSTC 39/2012, 50/2012, y 69/2012, a partir de cuyos fundamentos pueden rechazarse las quejas planteadas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todo caso, que merece análisis particularizado el motivo basado en la intangibilidad de las resoluciones judiciales, concluyendo que en el presente caso no existe una resolución firme relativa al licenciamiento definitivo toda vez que todas las que constan en ejecutoria y mencionadas por el demandante o bien no se refieren al objeto que aquí se debate (ampliación del tiempo de privación de libertad) o bien carecen de firmeza. Las alusiones al licenciamiento definitivo provienen de una propuesta del centro penitenciario que no fue confirmada por el Tribunal, por lo que no puede afirmarse, en suma, la existencia de una resolución firme e intangible sobre el cómputo de redenciones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no formuló alegaciones en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14 de junio de 2012, se señaló para deliberación y fallo de la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de la Sala de lo Penal de la Audiencia Nacional, de 1 de diciembre de 2009, desestimatorio del recurso de súplica interpuesto contra la providencia de 3 de noviembre de 2009 que, en aplicación de lo establecido en la Sentencia del Tribunal Supremo 197/2006, de 28 de febrero, fija la fecha de licenciamiento definitivo el día 4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la legalidad (art. 25.1 y 2 CE), a la libertad (art. 17.1 CE) y a la igualdad en la aplicación de la ley (art. 14 CE), con la argumentación que queda ampliamente expuesta en los antecedentes de esta resolución. El Ministerio Fiscal, por su parte, interesa la inadmisión del recurso ex art. 44.1 a) de la Ley Orgánica del Tribunal Constitucional (LOTC), por falta de agotamiento de la vía judicial previa; subsidiariamente, interesa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recordábamos en la reciente STC 89/2011, de 6 de junio,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citado requisito de admisibilidad, hemos afirmado en la STC 174/2011, de 7 de noviembre, que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[SSTC 85/1999, de 10 de mayo, FJ 5; y 71/2000, de 13 de marzo,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citada doctrina, y de igual modo a como hemos acordado en las SSTC 58/2012, 60/2012, y 63/2012, todas de 29 de marzo, ante supuestos idénticos al presente, procede dictar Sentencia inadmitiendo el recurso de amparo por falta de agotamiento de la vía judicial previa [art. 44.1 a) LOTC], al acudir directamente a este Tribunal sin haber hecho uso del recurso de casación ante 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como hemos afirmado en los citados pronunciamientos, “tal previsión resulta aplicable a los Autos que aprueban el licenciamiento definitivo en cuanto lo en ellos resuelto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al menos un año antes de dictarse las resoluciones impugnadas mediante el Auto del Tribunal Supremo de 7 de abril de 2008, dictado precisamente resolviendo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acumuladas, abona la recurribilidad en casación de los Autos de licenciamiento definitivo en cuanto concretan y fijan definitivamente el máximo de cumplimiento respecto de las penas que se acumulan” (SSTC 58/2012, FJ 3; 60/2012, FJ 3; 63/2012,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don Joseba Iñaki Uridain Ziriza contra la providencia de la Sección Tercera Sala de lo Penal de la Audiencia Nacional de 3 de noviembre de 2009 y contra el Auto de 1 de diciembre de 2009 por el que se desestima el recurso de súplica interpuesto contra la providencia 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