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agosto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Segunda de la Audiencia Provincial de Huelva de 29 de enero de 2010, dictada en el rollo núm. 246-2009, exclusivamente en lo relativo a las penas privativa de libertad de prisión de seis meses y accesoria de inhabilitación especial para el ejercicio del cargo de jefe de obra en la actividad empresarial de construcción por ese mismo periodo de tiempo impuestas a doña Paloma Ogayar Lechuga.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julio de 2010, la Procuradora de los Tribunales doña María Luisa Maestre Gómez, en nombre y representación de doña Paloma Ogayar Lechuga, y bajo la dirección del Letrado don Fernando Vergel Araujo, interpuso recurso de amparo contra el Auto de la Sección Segunda de la Audiencia Provincial de Huelva de 3 de mayo de 2010, por el que se desestima el incidente de nulidad de actuaciones interpuesto contra la Sentencia de 29 de enero de 2010, dictada en el rollo núm. 246-2009, por la que, con estimación de recurso de apelación interpuesto contra la Sentencia del Juzgado de lo Penal núm. 4 de Huelva de 20 de febrero de 2009, dictada en el procedimiento abreviado núm. 221-2008, se condena, entre otros, a la recurrente por un delito contra los derechos de los trabajadores en concurso con una falta de lesiones a las penas de prisión de seis meses, multa de seis meses con una cuota diaria de diez euros y la accesoria de inhabilitación especial para el ejercicio del cargo de jefe de obra en la actividad empresarial de construcción, por el delito, y de veinte días de multa con una cuota diaria de diez euros, por la falta, así como al pago de las costas y una indemnización a la víctima de manera solidaria con los otros condenados.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Sentencia impugnada en cuanto a la pena privativa de libertad e inhabilitación especial para el ejercicio del cargo de jefe de obra en la actividad empresarial de construcción, al entender que su ejecución puede producir un perjuicio que haga perder al amparo su finalidad y que dicha suspensión no ocasiona una perturbación a un interés constitucionalmente protegido ni a los derechos o libertades de otras personas, destacando que se ha consignado la cuota que le corresponde en el pago de la indemnización de la víctima.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 de julio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11 de julio de 2012, presentó alegaciones en las que, enunciando la jurisprudencia de este Tribunal sobre el particular, interesó la suspensión de la pena privativa de libertad y de su accesoria de inhabilitación especial, argumentando que si se compara la duración de la pena privativa de libertad impuesta, que es de prisión de seis meses, con el tiempo que normalmente se consume en la tramitación de un recurso de amparo, la denegación de la suspensión causaría a la recurrente un perjuicio irreparable, debiendo extenderse a la pena de inhabilitación por su carácter accesorio.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escrito registrado el 10 de julio de 2012, presentó alegaciones insistiendo en la necesidad de la suspensión, argumentado que la Sala Segunda de este Tribunal, por ATC 76/2012, de 7 de mayo, ya había acordado dicha suspensión en relación con otros condenamos en esta misma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 De ello se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un interés constitucionalmente protegido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30/2011, de 28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y por lo que se refiere a las penas de privación de libertad, se ha reiterado que procederá, en principio, acordar su suspensión al afectar a un bien de imposible o muy difícil restitución a su estado anterior, si bien se ha destacado que este criterio general tampoco es absoluto, ya que en estos supuestos deben también ponderarse otras circunstancias relevantes, significativamente la duración y gravedad de la pena impuesta porque en ella se expresa la reprobación que el ordenamiento asigna al hecho delictivo y, por consiguiente, la magnitud del interés general en su ejecución. Del mismo modo, este Tribunal también ha reiterado que la suspensión de la pena privativa de libertad debe conllevar la suspensión de las penas accesorias de inhabilitación que lleven a aparejadas (por todos, ATC 58/2012, de 26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recurrente solicita la suspensión de la Sentencia impugnada exclusivamente en relación con la pena de prisión de seis meses y su accesoria de inhabilitación especial para el ejercicio del cargo de jefe de obra en la actividad empresarial de construcción impuestas por la comisión de un delito contra los derechos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conforme también interesa el Ministerio Fiscal, debe acordarse la suspensión de la pena privativa de libertad y su accesoria de inhabilitación especial impuestas a la recurrente, ya que, atendidas todas las circunstancias concurrentes en el caso, de un lado, su ejecución puede ocasionar a la recurrente perjuicios irreparables que harían perder al amparo su finalidad, tanto por afectar al valor fundamental de la libertad como porque si se compara la duración de tales penas —seis meses— con el tiempo que requiere la tramitación de un proceso de amparo como el presente, ha de concluirse que la no suspensión de su ejecución ocasionaría un perjuicio irreparable, que privaría en parte o, incluso, en todo de eficacia a un eventual fallo estimatorio. Y, de otro, porque el acceder a la suspensión pretendida no ocasiona una lesión específica y grave de un interés constitucionalmente protegido —más allá de aquél que de por sí produce la no ejecución de un fallo judicial—, ni de derechos fundamentales o libertades públicas de terceros, especialmente la víctima, pues la suspensión no afecta al pago de la indemnización y de las costas.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 de vacaciones</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Segunda de la Audiencia Provincial de Huelva de 29 de enero de 2010, dictada en el rollo núm. 246-2009, exclusivamente en lo relativo a las penas privativa de libertad de prisión de seis meses y accesoria de inhabilitación especial para el ejercicio del cargo de jefe de obra en la actividad empresarial de construcción por ese mismo periodo de tiempo impuestas a doña Paloma Ogayar Lechuga.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agosto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