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pena privativa de libertad de dos años, seis meses y un día de prisión, y accesoria de privación del derecho de sufragio pasivo durante el tiempo de la condena, así como la suspensión de la pena de inhabilitación especial para el ejercicio de la profesión de promotor por tiempo de dos años, seis meses y un día impuesta al recurrente en Sentencia núm. 528/2006 de 29 de diciembre, del Juzgado de lo Penal núm. 2 de Málaga.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febrero de 2013, el Procurador de los Tribunales don Roberto Granizo Palomeque, en nombre y representación de don José Padilla Pérez, interpuso recurso de amparo contra el Auto de la Sección Primera de la Audiencia Provincial de Málaga de fecha 26 de diciembre de 2012, dictado en rollo de apelación 813-2012, interpuesto contra el Auto de 24 de octubre de 2012, dictado por el Juzgado de lo Penal núm. 2 de Málaga, ejecutoria penal 223-2006, en el que se desestimaba el recurso de apelación contra la denegación del archivo por prescripción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solicitaba por otrosí, ex art. 56 de la Ley Orgánica del Tribunal Constitucional (LOTC), la suspensión de la ejecución de la pena de prisión de dos años, seis meses y un día impuesta al demandante de amparo, así como la de inhabilitación especial para el ejercicio de la profesión de promotor, por cuanto podría causar un perjuicio tal que haría perder la finalidad del presente recurso de amparo, sin que dicha suspensión ocasione perturbación grave a ningún derecho constitucionalmente protegido, y por concurrir una apariencia de buen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4 de junio de 2013, y tras admitir el recurso por providencia fechada en el mismo día, acordó la formación de pieza separada para la tramitación del incidente sobre la suspensión solicitada y asimismo, conceder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parte recurrente presentó escrito de alegaciones con fecha 13 de junio de 2013 en el que reitera la petición de suspensión con fundamento en que la pena impuesta es de dos años, seis meses y un día de prisión, y que se perdería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18 de junio de 2013, presentó alegaciones solicitando que se conceda la suspensión tanto de la pena privativa de libertad como de la de inhabilitación especial, puesto que de no suspender la ejecución se ocasionaría al demandante perjuicios irreparables que tornarían en ilusorios los efectos de un eventual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en relación a la suspensión de las penas de prisión, se ha venido utilizando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ponderando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tesis del Ministerio Fiscal, concurren los requisitos que nuestra doctrina exige para otorgar la suspensión de la ejecución en cuanto a la pena privativa de libertad, por cuanto la duración de la pena impuesta —dos años, seis meses y un día de prisión— permite afirmar que su ejecución puede ocasionar al demandante perjuicios irreparables que harían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ello procedente decretar la suspensión cautelar de la pena privativa de libertad impuesta en atención a su corta duración, tratando así de prevenir que la previsible duración de este amparo pudiera conllevar la inefectividad de un eventual pronunciamiento estimatorio de la demanda de amparo, y, conforme a la regla de accesorium sequitur principale e igual suspensión deberá extenderse a la privación del derecho de sufragio pasivo (art. 44 del Código penal) aneja a la privativa de libertad suspensa.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 pena de inhabilitación especial para el ejercicio de la profesión de promotor, impuesta con una duración igual a la de la pena de privativa de libertad, el recurrente solicita la suspensión, sin aportar ningún argumento sobre los perjuicios que podría producirle la ejecución de la pena, puesto que todas las alegaciones de la demanda y del escrito presentado en la pieza se ciñen exclusivamente a los perjuicios que podrían derivarse de la ejecución de esta pena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procede la suspensión de la pena de inhabilitación especial para el ejercicio de la profesión de promotor durante el tiempo de la condena, aunque se trate de pena principal —y sin anticipar enjuiciamiento sobre el fondo del recurso—, pues, por una parte, es consecuencia de una infracción imprudente y por otra, el perjuicio que se le irrogaría es de naturaleza personal o profesional que igualmente es de difícil reparación (AATC 148/2006, de 8 de mayo, FJ 4; 371/2006, de 23 de octubre, FJ 3; 44/2008, de 11 de febrero, FJ 3; y 166/2008, de 23 de junio,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pena privativa de libertad de dos años, seis meses y un día de prisión, y accesoria de privación del derecho de sufragio pasivo durante el tiempo de la condena, así como la suspensión de la pena de inhabilitación especial para el ejercicio de la profesión de promotor por tiempo de dos años, seis meses y un día impuesta al recurrente en Sentencia núm. 528/2006 de 29 de diciembre, del Juzgado de lo Penal núm. 2 de Málaga.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