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631-2013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41 y de la disposición final séptima de la Ley de la Junta General del Principado de Asturias 3/2012, de 28 de diciembre, de presupuestos generales para 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 de febrero de 2013 el Abogado del Estado, en nombre del Presidente del Gobierno, interpuso recurso de inconstitucionalidad contra el art. 41 y la disposición final séptima de la Ley de la Junta General del Principado de Asturias 3/2012, de 28 de diciembre, de presupuestos generales para 2013.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febrero de 2013 el Pleno del Tribunal Constitucional, a propuesta de la Sección Cuarta, acordó admitir a trámite el recurso de inconstitucionalidad y dar traslado de la demanda y documentos presentados, conforme establece el art. 34 de la Ley Orgánica del Tribunal Constitucional (LOTC), al Congreso de los Diputados y al Senado así como al Gobierno del Principado de Asturias y a la Junta General del Principado de Asturias,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—1 de febrero de 2013— para las partes del proceso y desde el día en que aparezca publicada la suspensión en el “Boletín Oficial del Estado” para los terceros, lo que se comunicó a los Presidentes del Gobierno del Principado de Asturias y de la Junta General del Principado de Asturias. Por último, también se ordenó publicar la incoación del recurso en el “Boletín Oficial del Estado” y en el “Boletín Oficial del Principado de Asturias”.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6 de marzo, el Presidente del Senado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Congreso de los Diputados, mediante escrito registrado el día 8 de marzo, comunicó que la Mesa de la Cámara había acordado que la Cámara se personase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19 de marzo de 2013, el Letrado de la Junta General del Principado de Asturias se persona en el proceso sin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del Servicio Jurídico del Principado de Asturias, en representación del Gobierno de esa Comunidad Autónoma cumplimentó el trámite de alegaciones mediante escrito registrado el 27 de marzo en el que solicita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otrosí primero del mencionado escrito solicita el levantamiento anticipado de la suspensión que pesa sobre los preceptos impugnados, conforme a las siguientes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en primer lugar, que el levantamiento anticipado de la suspensión, sin esperar al transcurso de los cinco meses previstos en el art. 161.2 CE, es una posibilidad admitida por el Tribunal Constitucional, pues los cinco meses a los que hace referencia el citado precepto constitucional son, precisamente, el límite máximo inicialmente previsto para la suspensión, incluyéndose entre las potestades de este Tribunal la de ratificar o levantar la suspensión dentro de ese plazo. En ese levantamiento de la suspensión ha de partirse de la presunción de constitucionalidad del precepto impugnado y debe analizarse al margen de la viabilidad de las pretensiones formuladas en la demanda (ATC 114/2011), si bien la Letrada del Servicio Jurídico de Asturias no deja de advertir que el precepto impugnado es sustancialmente igual al “impuesto sobre depósito de las entidades de crédito”, aprobado por Ley de la Asamblea de Extremadura 14/2001, que fue declarado constitucional por la STC 210/12012, de 14 de noviembre. Indica a continuación que corresponde al Abogado del Estado la carga de probar la existencia de daños, reales y presentes, de difícil o imposible reparación que se derivarían del mantenimiento de la vigencia y aplicación de la norma asturiana a lo largo del proceso constitucional, por lo que únicamente va a alegar lo relativo a los perjuicios que generaría el mantenimiento de la suspensión. Entre tales perjuicios menciona la pérdida de ingresos ya presupuestados, estimados en unos 30 millones de euros, con el evidente perjuicio a las arcas del Principado, citando al efecto la doctrina del ATC 253/1992, de 9 de septiembre. Por otro lado, señala que en virtud de la ley estatal que recoge el mismo hecho imponible que ahora se debate, no se generaría ningún ingreso a favor del erario público estatal, dado que el tipo de gravamen que se aplica en esa norma es de 0 por 100. Así, de mantenerse la suspensión del precepto asturiano, se vería mermado el interés general de la totalidad del Estado, dado que la Administración autonómica no recaudaría, al hallarse su normativa en suspenso, y el Gobierno central tampoco recibiría ingreso alguno, dado que así lo ha decidido en su legislación. De esta manera, se estaría privando al Estado, entendido en sentido amplio, de unos cuantiosos ingresos que resultan capitales en el momento económico en el que nos encontramos y que posibilitarían el cumplimiento de unos estrictos objetivos de déficit y estabilidad impuestos por el ámbito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mediante providencia de 1 de abril de 2013 acordó incorporar a los autos los escritos formulados por el Letrado de la Junta General del Principado de Asturias y la Letrada de los Servicios Jurídicos del Principado de Asturias, respectivamente, y en cuanto a la solicitud que este último formula sobre el levantamiento de la suspensión de los preceptos objeto de recurso, oír al Abogado del Estado para que, en el plazo de cinco días, exponga lo que estime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este Tribunal el 9 de abril, formuló sus alegaciones interesando el mantenimiento de la suspensión, por los motivos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conforme a la cual es necesario ponderar, de un lado, los intereses implicados, tanto el general y público como el particular o privado de las personas afectadas, y, de otro, los perjuicios de imposible o difícil reparación que se derivan del mantenimiento o levantamiento de la suspensión. Esta valoración debe hacerse mediante el examen de las situaciones de hecho creadas y al margen de la viabilidad de las pretensiones contenidas en la demanda (ATC 88/2008, de 2 de abril,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—dirá el Abogado del Estado— es que lo que con más frecuencia se ha de examinar son las situaciones de hecho que, con cierto grado de previsibilidad, puedan producirse en el caso de levantarse la suspensión y aplicarse las normas recurridas.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alude al contenido de la norma impugnada en este proceso señalando que se plantean ahora cuestiones no resueltas por la STC 210/2012, de 14 de noviembre, relativo a la Ley de la Asamblea de Extremadura 14/2001, de 29 de noviembre, reguladora del impuesto sobre depósitos en las entidades de crédito, en especial las derivadas de la aprobación de la Ley 16/2012, de 27 de diciembre, por la que se adoptan diversas medidas tributarias dirigidas a la consolidación de las finanzas públicas y al impulso de la actividad económica, norma que introduce un impuesto estatal análogo al autonómico previsto en la norma impugnada, pero de tipo impositivo fijado inicialmente en cero. Señala asimismo la analogía que la norma impugnada guarda con el Decreto-ley de Cataluña 5/2012, objeto del recurso de inconstitucionalidad 7279-2012, indicando que los perjuicios que ocasionaría el levantamiento de la suspensión son absolutamente análogos a los que produciría el levantamiento de la suspensión de aquel, por lo que va a seguir el mismo esquema argumental que el desarrollado en el incidente de suspensión del recurso de inconstitucionalidad 7279-2012.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Advirtiendo que únicamente se va a razonar sobre los perjuicios que ocasionaría el levantamiento de la suspensión del art. 41 de la Ley 3/2012, alude en primer lugar a la doctrina del ATC 173/2002, de 1 de octubre, en el que el Tribunal acordó “levantar la suspensión de la vigencia de la Ley de la Asamblea de Extremadura 14/2001, de 29 de noviembre, del impuesto sobre depósitos de las entidades de crédito”, con fundamento en que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Estima sin embargo que las actuales circunstancias son distintas a las que concurrían al dictarse el mencionado ATC 173/2012, ya que hasta 2008 no existía ninguna duda acerca de la solvencia de las entidades financieras pero desde esa fecha la intensidad de la crisis ha afectado severamente al sector financiero y, singularmente, al español. Para ilustrar esta afirmación el Abogado del Estado cita extractos de los informes anuales del Banco de España correspondientes a los años 2008, 2009 y 2011. En relación específicamente con las entidades financieras cita el informe de estabilidad financiera de noviembre de 2012 del que destaca las afirmaciones relativas al recrudecimiento de las tensiones financieras en el área euro que tuvieron lugar entre el mes de mayo y finales de julio de 2012, lo que generó dudas sobre el sector financiero español y la calidad de sus balances. Indica, además, que el sector está sometido a un proceso de reforma consistente en la capitalización y reestructuración que ha precisado de asistencia financiera externa, recogida en un memorándum de entendimiento (MOU) entre las autoridades españolas y las europeas que se concretó en un importe de hasta 100.000 millones de euros destinados a reforzar la solvencia de las entidades con déficit de capital. Concluye, por tanto, que el sector bancario ha venido desarrollando su actividad en un entorno caracterizado por las tensiones en los mercados financieros internacionales, por la debilidad de la economía real y por su propio proceso de reestructuración y capitalización. Circunstancias todas ellas que provocaron la reducción del crédito al sector privado residente. Igualmente alude al aumento de la morosidad que sufre el sector, a las dificultades de acceso a la financiación de los mercados mayoristas, la disminución de los depósitos minoristas y la presión a la baja de la rentabilidad de las entidades, lo que conlleva resultados negativos para el conjunto del sector. Esas tensiones sobre el sistema financiero se habrían visto acrecentadas tras las incertidumbres generadas por “el proceso de negociación de los términos de la asistencia financiera a Chipre”, que ha vuelto a generar grandes dudas sobre el sistema financiero europeo y, en particular, el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las anteriores afirmaciones el Abogado del Estado alude ya a los perjuicios que la aplicación del Decreto-ley 5/2012 produciría: a) para el sector de las entidades de crédito y su reestructuración y b) para el acceso al crédito de las empresas y economías domésticas y, por extensión, para el crecimiento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primeros toma, para valorar adecuadamente los perjuicios, una serie de datos que afirma extraídos de la página web de la Asociación Española de Banca (AEB), los cuales, a su vez, se extraen, en lo relativo a los resultados del sector, del “Boletín Estadístico del Banco de España”. Señala que los perjuicios que causa la norma se contemplan mejor si se realiza el ejercicio de generalizar el impuesto a todo el territorio nacional, ejercicio admitido por el Tribunal en el ATC 87/2012, de 10 de mayo, FJ 4. Así, indica que el coste fiscal directo del impuesto catalán sobre depósitos en las entidades de crédito, equivalente al impuesto asturiano ascendería a 866 millones de euros y, si se generalizase en todas las Comunidades Autónomas, se elevaría a 5.095 millones de euros, lo que hubiera convertido el resultado positivo de la actividad de explotación de 4.189 millones en 2011 en un resultado negativo de 906 millones de euros, con un todavía mayor impacto en el año 2012 pues durante los seis primeros meses las entidades de depósito registraron un resultado consolidado de -3.124 millones de euros. Por otro lado, indica que la hipótesis de la extensión del impuesto no es irrazonable, habida cuenta de su existencia en cinco Comunidades Autónomas que han seguido el inicial modelo del impuesto extremeño y que, además, el examen consolidado del impuesto en todo el territorio resulta imprescindible para evaluar los perjuicios derivados del levantamiento de la suspensión, dado que éstos solamente se perciben en relación con el resultado de explotación de las entidades de crédito, no estando este dato disponible por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la aplicación del tributo el Abogado del Estado estima que, “en primer lugar, posiblemente aumentarían las necesidades de financiación de gran número de entidades que habrían de acudir a la línea de crédito solicitada por España a la Unión Europea. En segundo lugar, como consecuencia de la aplicación del IDEC [impuesto sobre depósitos en las entidades de crédito] las entidades de depósito necesitarían realizar un ajuste mucho más duro para sanear su cuenta de explotación, con una grave afectación a la confianza en el sector y, por supuesto, también al empleo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para el acceso al crédito de las empresas y economías domésticas y, por tanto, para el crecimiento económico, el Abogado del Estado remite, nuevamente a la página web de la AEB, para destacar el elevado endeudamiento de empresas y familias, lo que determina que los depósitos captados sean insuficientes para alcanzar a financiar la totalidad del crédito a empresas y familias, insuficiencia que se ha cubierto tradicionalmente mediante el recurso a los mercados de valores de renta fija. Sin embargo, la crisis económica ha provocado una fuerte contracción de los mercados de deuda en general y de los habitualmente utilizados por las entidades españolas en particular, afectados además por el descenso en la calificación de la deuda española y la consiguiente elevación del coste de financiación. Todo ello introduce una fuerte presión en la evolución del crédito a empresas y familias, presión que se acrecienta por la línea descendente mantenida por los depósitos en 2011 y 2012. En esa situación estima el Abogado del Estado que no hace falta ser un experto economista para entender que cualquier elemento que pudiese afectar negativamente a la cifra de depósitos, como podría ser una mayor tributación, supone mayores restricciones para que las entidades bancarias puedan conseguir financiación e, inevitablemente, tendrá efectos en una mayor contracción del crédito a familias y empresas con efectos también en el consumo y en la inversión productiva, por lo que se estaría provocando una reducción de la actividad económica con el consiguiente aumento del desempleo. Concluye por ello el Abogado del estado que, “en las circunstancias de inestabilidad económica descritas, un impuesto que coloca a un sector tan esencial como el bancario en una situación de pérdidas en su cuenta agregada de explotación, con las graves repercusiones que eso ha de tener no sólo en las propias entidades sino en la economía en general, debe quedar en suspenso durante la tramitación del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al art. 41 y la disposición final séptima de la Ley de la Junta General del Principado de Asturias 3/2012, de 28 de diciembre, de presupuestos generales para 2013,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41 crea el impuesto sobre depósitos en entidades de crédito como impuesto aplicable a las entidades de crédito que operen en el territorio del Principado de Asturias y establece las disposiciones por las que se rige. Por su parte la disposición final séptima regula la entrada en vigor de la Ley 3/2012 el día 1 de enero de 2013, salvo lo dispuesto en el artículo 41, que entrará en vigor el día siguiente al de su publicación en el “Boletín Oficial del Principado de Asturias”. Los motivos de inconstitucionalidad alegados son dos, ambos imputables al art. 41, pues, según afirma el Abogado del Estado, la impugnación de la disposición final séptima está llamada a seguir la suerte de aquella. El primero es la imposibilidad de crear tributos mediante una ley de presupuestos, con la consiguiente vulneración del art. 134.7 CE y el segundo, la vulneración de los límites de la potestad tributaria autonómica establecidos en el art. 6.2 de la Ley Orgánica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Expuestos los términos del recurso de inconstitucionalidad, cuyo contenido no compete resolver en este momento procesal, hemos de centrarnos en la cuestión de si procede o no procede levantar la suspensión de vigencia de las disposiciones impugnadas por el Estado, tal y como solicita la Letrada del Servicio Jurídico del Principado de Asturias. La solicitud de levantamiento anticipado de la suspensión sin esperar al transcurso de los cinco meses previstos en el art. 161.2 CE resulta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88/2013, de 23 de abril,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y 60/2013, de 26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de lo que ahora se trata es de dilucidar si los perjuicios que han sido alegados por el Abogado del Estado tienen la gravedad y consistencia necesarias como para prevalecer sobre la presunción de legitimidad de la regulación asturiana y los intereses que se vinculan a su aplicación efectiva. Dicha ponderación la realizaremos únicamente respecto al art. 41 de la Ley de la Junta General del Principado de Asturias 3/2012, pues, como ha apuntado el Abogado del Estado, en el escrito de interposición del recurso de inconstitucionalidad y en el presentado con ocasión del incidente de suspensión, la suerte de la disposición final séptima va ligada a la de aquel precepto, tanto en lo relativo a su enjuiciamiento de fondo como en lo que al presente incidente concierne.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ocasión el Abogado del Estado solicita el mantenimiento de la suspensión de la norma impugnada fundamentando su petición en la gravedad de la situación económica, en especial en relación con la solvencia de las entidades de crédito y el sistema financiero. Dado dicho contexto ha argumentado que el levantamiento de la suspensión sería susceptible de generar perjuicios irreparables para la entidades de depósito sujetas al pago del tributo pues señala, a partir de datos que afirma extraídos de la página web de la Asociación Española de Banca (AEB), que la extrapolación del tributo autonómico impugnado al conjunto del Estado hubiera convertido el resultado positivo de la actividad de explotación del sector en el año 2011, último dato disponible, en un resultado negativo, resultado negativo susceptible de incrementarse en ejercicios posteriores a tenor del proceso de deterioro de los activos en el que están inmersas las entidades de crédito. Por otro lado ha destacado también la existencia de perjuicios para el acceso al crédito de las empresas y de las economías domésticas, puesto que, con apoyo también en la página web de la AEB, afirma que gravar los depósitos va a suponer una contracción en el crédito, habida cuenta de las dificultades en conseguir financiación por las que actualmente pasan las entidades bancarias.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del Principado de Asturias ha interesado el levantamiento de la suspensión alegando la sustancial identidad del tributo con el creado por la Ley de la Asamblea de Extremadura 14/2001, que fue declarado constitucional por la STC 210/2012, de 14 de noviembre, así como recalcando los perjuicios que sufría la hacienda autonómica por la merma de ingresos ya presupuestados, perjuicios tanto más graves cuanto se producen en una situación de evidentes dificultades de las arcas públicas, y, finalmente, ha aducido el hecho de que el tributo estatal sobre esta materia, creado por la Ley 16/2012, de 27 de diciembre, por la que se adoptan diversas medidas tributarias dirigidas a la consolidación de las finanzas públicas y al impulso de la actividad económica, ha establecido un tipo cero de gravamen, con lo que no es susceptible de generar ingresos, mermando así el interés general, dado que, de mantenerse la suspensión, la Administración autonómica no recaudaría su impuesto y tampoco lo haría el Gobierno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siquiera de forma sucinta, los perjuicios a los intereses particulares y generales que cada una de las partes plantea que pueden producirse si se mantiene o se alza la suspensión previamente acordada por el Tribunal, procede que realicemos la ponderación que es propia de este incidente cautelar atendiendo a la determinación de las consecuencias que podrían derivarse del alzamiento o mantenimiento de la suspensión, teniendo presente que sobre el Abogado del Estado pesa la carga de acreditar la existencia de los perjuicios y la imposible o difícil reparación de los mismos. En esa ponderación habremos de huir de toda consideración sobre el fondo del asunto lo que explica que no ha de tenerse ahora en cuenta la alegación de la Letrada del Servicio Jurídico del Principado de Asturias en relación con las similitudes que el tributo ahora suspendido guarda con el creado por la Ley de la Asamblea de Extremadura 14/2001, que ha sido objeto de la STC 210/2012.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señalado los perjuicios aducidos por el Abogado del Estado son, esencialmente, dos: los directos, que sufrirían las entidades de crédito que capten depósitos, y los indirectos, que afectarían al acceso al crédito de las empresas y economías domésticas. Además, los directos podrían ser mayores si el tributo se extrapolase al resto de las Comunidades Autónomas. Como pone de manifiesto el Abogado del Estado en su escrito, tales perjuicios ya fueron alegados con ocasión del incidente de suspensión relativo al Decreto-ley de Cataluña 5/2012, de 18 de diciembre, del impuesto sobre los depósitos en las entidades de crédito, incidente resuelto por el ATC 123/2013, de 21 de mayo, en términos que, dada la sustancial identidad de las alegaciones formuladas por el Abogado del Estado, no cabe sino reiterar.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comenzando por el primero de ellos, ya señalamos en el citado ATC 123/2013 (FJ 4) que, al basarse las conclusiones del Abogado del Estado sobre los perjuicios que sufriría el sector financiero en los datos extraídos de la página web de la Asociación Española de Banca, tales datos no podían tener, dado que la AEB se define como “una asociación profesional abierta a todos los bancos españoles y extranjeros que operan en España” cuyas funciones “se centran en la defensa y representación de los intereses colectivos de sus miembros en los distintos ámbitos que afectan a su actividad”, el valor probatorio pretendido, pues con ellos no quedaba levantada la carga de justificar debidamente la necesidad de mantenimiento de la suspensión, atendiendo además a la presunción de validez de la norma impugnada y al carácter cautelar con que se configura la medida de la suspensión. Criterio reiterado al desestimar, con ésta misma fecha el recurso de súplica deducido contra el ATC 123/2013 de constante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en el mismo fundamento jurídico, descartamos que el riesgo de extrapolación de este impuesto a las restantes Comunidades Autónomas, pudiera ser tomado en consideración, por tratarse de una mera hipótesis no confirmada que, como tal, no puede prevalecer, en la ponderación propia de este incidente, sobre la presunción de constitucionalidad de la que, en principio, goza la norma impugnada. Además, aludimos a lo dispuesto en el art. 19 de la Ley 16/2012, que crea un impuesto estatal sobre los depósitos de entidades de crédito, cuya finalidad es, conforme a la exposición de motivos de la citada ley, “asegurar un tratamiento fiscal armonizado que garantice una mayor eficiencia en el funcionamiento del sistema financiero”, por lo que, a los efectos del presente incidente, la mera existencia de la norma estatal citada sirve para desvirtuar el riesgo de generalización del tributo que ha alegado el Abogado del Estado. Riesgo que, como también señalamos, se basaba en una doctrina, la del ATC 87/2012, de 10 de mayo y los allí citados, “establecida en relación a una cuestión muy distinta en la que, precisamente lo que se alegaba, en asuntos relativos a retribuciones de los funcionarios públicos, era que se ponía en peligro ‘la efectividad de una medida de política económica general dirigida a contener la expansión relativa de uno de los componentes esenciales del gasto público’, como es el del gasto en personal (en el mismo sentido, bien que por referencia a las restricciones en el ingreso de nuevo personal, ATC 161/2012, de 13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reiteramos ahora que tampoco “los concretos perjuicios que alega respecto al aumento de las necesidades de financiación de las entidades y a la afectación a la confianza en el sector y al empleo en el mismo, pueden ahora ser tomados en consideración pues se presentan desprovistos de dato alguna que permita su ponderación y se formulan de modo hipotético, además de no tomar en consideración las medidas de reestructuración bancaria puestas en marcha, uno de cuyos exponentes más relevantes es el Real Decreto-ley 24/2012, de 31 de agosto, sobre reestructuración y resolución de entidades de crédito, posteriormente sustituido por la Ley 9/2012, de 14 de noviembre.” (ATC 123/2013,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 cita del ATC 108/2011, de 18 de julio, FJ 6, consideramos que los intereses particulares, como lo son los del sector financiero, sin perjuicio de su relevancia para el buen funcionamiento de la economía nacional, no podían prevalecer sobre los generales, en este caso “relacionados con la necesidad de adoptar las medidas precisas para hacer frente a una situación de inestabilidad financiera y crisis económica como el que actualmente vive nuestro país”. En este caso, la representación procesal del Gobierno del Principado de Asturias ha señalado que la recaudación prevista por este tributo ya se encuentra incluida en la previsión de ingresos del presupuesto autonómico, con un importe estimado de 30 millones de euros, lo que, como en el ATC 123/2013, FJ 4, permite apreciar que se trata de “recursos, en suma y desde la perspectiva cautelar que nos impone el presente incidente, tanto más necesarios en un momento de fuertes recortes presupuestarios, obligados para afrontar las actuales exigencias de reducción del déficit y del endeudamiento de la Comunidad Autónoma de Cataluña y, por extensión, del conjunto de España y que ha determinado ya la adopción de medidas extraordinarias de apoyo a la liquidez de las Comunidades Autónomas, como, por ejemplo, las previstas en el Real Decreto-ley 21/2012, de 13 de julio, sobre medidas de liquidez de las Administraciones públicas y en el ámbito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Algo similar sucede con el segundo de los perjuicios alegados por el Abogado del Estado, el relativo a la repercusión del tributo sobre el acceso al crédito de las empresas y familias, pues ya consideramos en el ATC 123/2013, FJ 5, que se trataba de “una hipótesis no acreditada” que no podía prevalecer sobre los perjuicios que sufrirían los intereses generales de la Comunidad Autónoma si la suspensión se mantuviese.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falta de relevancia de esta segunda consecuencia respecto al interés general que se conecta a la aplicación de la norma autonómica se vinculaba, entonces y ahora, “a que sus alegaciones se basan en argumentos extraídos de la página web de la AEB, por lo que es aplicable igualmente lo que acabamos de señalar respecto a su valor probatorio”. Junto a ello, consideramos que “tampoco puede estimarse que la aplicación de la norma ahora suspendida vaya necesariamente a producir los efectos que el Abogado del Estado, siquiera por referencia a lo analizado por la AEB, asocia al alzamiento de la suspensión. En efecto, además de que la generalidad con la que se formulan dificulta su valoración, presenta un marcado carácter hipotético, puesto que es evidente que, atendidas las circunstancias actuales, el endurecimiento de las condiciones de acceso al crédito no deriva necesaria y directamente de la vigencia de la norma.” Además señalamos que “la aplicación del tributo no anula el margen del que, en virtud de la reducción de costes de captación de pasivo por las entidades de crédito, disponen tales entidades, extremo, por lo demás, corroborado por los datos obrantes en el ‘Boletín Estadístico del Banco de España’ de marzo de 2013 (último disponible), recogiendo los resultados del período que va de enero a diciembre de 2012, en relación tanto con los costes financieros como con el margen de interés de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como hicimos en el ATC 123/2013, FJ 6 “no está de más señalar que resulta aquí aplicable la doctrina que, con referencia a decisiones anteriores, recoge el ATC 173/2002, de 1 de octubre, FJ 3 en el sentido de señalar que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41 y de la disposición final séptima de la Ley de la Junta General del Principado de Asturias 3/2012, de 28 de diciembre, de presupuestos generales para 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