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11 de septiembre de 2013, el Procurador de los Tribunales don Ignacio Aguilar Fernández, en nombre y representación de don Graham Charles Coombs, interpuso recurso de amparo contra el Auto de la Sección Cuarta de la Audiencia Provincial de Málaga, de 20 de diciembre de 2012, el cual estimó el recurso de apelación contra el decreto de adjudicación de 14 de septiembre de 2010, recaído en el procedimiento de división de herencia núm. 921-2013 del Juzgado de Primera Instancia núm. 3 de Marbella.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sobre la solicitud de suspensión e invocados en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adquirió un inmueble en la subasta judicial celebrada en el procedimiento de división de herencia antes citado, en el que el mismo no era parte. Su intervención en los autos se limitó al acto de la subasta, en el que ofreció postura y pujó. Dictado el decreto de adjudicación a su favor, de fecha 14 de septiembre de 2010 y antes de que adquiriese firmeza, se le entregó la posesión de la vivienda por diligencia de 19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Dos años más tarde, el recurrente —siempre según la demanda de amparo— tuvo noticia de que la vivienda salía de nuevo a subasta, momento en el que se personó en las actuaciones y comprobó que el decreto de adjudicación había sido recurrido en revisión y apelación por una de las partes en el procedimiento de división de herencia, recurso este último a consecuencia del cual la Sección Cuarta de la Audiencia Provincial de Málaga, por Auto de 20 de diciembre de 2012, declaró la nulidad de las actuaciones llevadas a cabo ante el Juzgado a partir del momento anterior a la convocatoria de la subasta pública, luego, también de la adjudicación del bien a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demandante de amparo interpuso entonces incidente de nulidad de actuaciones frente al mencionado Auto, en el que denunció que, pese a tratarse de persona directamente afectada por la nulidad pretendida y finalmente decretada, no fue oído en ningún momento con carácter previo a la resolución del recurso de apelación, causándosele así la más absoluta indefensión hasta el punto de privarle de su derecho de propiedad legítimamente adquirido.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incidente de nulidad fue desestimado por Auto de la Audiencia Provincial de 24 de julio de 2013, según el cual el incidente no era el mecanismo procesal procedente en tanto el recurrente no ostentaba la condición de “parte” en el procedimiento de división de herencia ni tampoco debía ostentarla, dado que la resolución del Juzgado ordenaba que le fuese entregado testimonio del decreto de adjudicación una vez adquiriese éste firmeza, pero aquél, sin embargo, se había recurrido en apelación. En consecuencia, si se le dio posesión de la vivienda, se hizo con carácter provisional, no constando siquiera que se le hiciese efectivamente entrega de dicho testimonio. Por tal razón —concluía la Audiencia— el incidente debía ser desestimado, sin perjuicio del derecho del ahora recurrente a ejercitar las acciones de que se creyese asistido para reclamar los daños y perjuicios derivados de las obras ejecutadas en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fecha de 11 de febrero de 2014 se celebró nueva subasta sobre el mismo bien, siendo adjudicado éste a una de las partes en el procedimiento de división de herencia. Asimismo al recurrente le fue devuelta la cantidad de 21.000 euros, que en su día entregó como precio de adjudicación. La diligencia de lanzamiento, instada por el nuevo adjudicatario, ha sido señalada por el Juzgado para el día 23 de junio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alegó que las resoluciones judiciales impugnadas han vulnerado el derecho a la tutela judicial efectiva, sin indefensión (art. 24.1 CE) del Sr. Coombs, al haber sido revocado el decreto de adjudicación de la vivienda que fue dictado a su favor sin ser oído en modo alguno en el recurso de apelación que dio lugar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el demandante solicitó que se decretase la suspensión de los efectos del Auto de la Sección Cuarta de la Audiencia Provincial de Málaga de 20 de diciembre de 2012 cuya nulidad se pretende, así como la de las actuaciones procesales posteriores derivadas de aquél en el procedimiento de división de herencia núm. 921-2003 seguido ante el Juzgado de Primera Instancia núm. 3 de Marbella. A juicio del recurrente, de celebrarse nueva subasta el inmueble podría ser adjudicado a un tercero desconocedor de las incidencias y controversias planteadas en torno al bien. “Incluso cabe la posibilidad de que se generase una nueva controversia jurídica entre los derechos del nuevo adquirente y los de mi representado, privando al proceso de subasta judicial de la necesaria transparencia y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10 de junio de 2014, acordó admitir a trámite la demanda de amparo y, con arreglo al art. 51 de la Ley Orgánica del Tribunal Constitucional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la citada providencia se acordó la formación de pieza separada para la resolución de la solicitud de suspensión, en la que se concedió al Ministerio Fiscal y al demandante de amparo el plazo común de tres días para alegar lo que estimasen conveniente sobre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evacuó el trámite conferido mediante escrito que tuvo entrada en fecha de 13 de junio de 2014, en el que reiteraba la urgencia de la suspensión al haberse señalado por el Juzgado la diligencia de lanzamiento de la vivienda para el día 23 de junio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de 18 de junio de 2014, consideró procedente que se adoptase la medida cautelar de suspensión, dado que en caso contrario, de dictarse Sentencia estimatoria de este recurso de amparo que declarase la nulidad del Auto de la Audiencia Provincial de 20 de diciembre de 2012, podrían resultar afectados los derechos de terceros de buena fe que adquiriesen la vivienda. Según el Ministerio público, de prosperar este amparo ello conllevaría la nulidad de la retroacción acordada en su día por la Audiencia Provincial y la recuperación de la validez de la adjudicación del inmueble al hoy demandante, “con lo que, aunque no pueda hablarse propiamente de intereses generales perjudicados, ni tampoco de que los derechos del recurrente en amparo, de claro contenido patrimonial, no puedan ser satisfechos por la correspondiente indemnización en caso de prosperar su pretensión, lo cierto es que esas expectativas que afectan a personas hoy innominadas, que puedan comparecer al ejercicio de su legítimo derecho a la venta pública de la vivienda, podrían sufrir una merma irreparable o de muy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y 2 de la Ley Orgánica del Tribunal Constitucional (en la redacción dada por Ley Orgánica 6/2007, de 24 de mayo) dispone: “La interposición del recurso de amparo no suspenderá los efectos del acto o Sentencia impugnados. Ello no obstante,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esta medida es doctrina reiterada de este Tribunal que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y 1/2010, de 11 de enero,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y 12/2009, de 26 de enero).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(ATC 22/2009, de 26 de enero, FJ 4).” (ATC 103/2012, de 21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autos la decisión sobre la suspensión interesada debe partir necesariamente de las peculiares características que confluyen en el bien objeto del recurso y que resultan de las actuaciones ya obrantes en este Tribunal. Se trata, en primer lugar, de un inmueble no inscrito en el Registro de la Propiedad, por lo que, de efectuarse una eventual venta del mismo, el comprador no se encontraría amparado por los efectos de la fe pública registral (art. 34 de la Ley hipotecaria). En segundo lugar, el recurrente ni en la demanda de amparo ni en los posteriores escritos que ha presentado con ocasión de la solicitud de suspensión ha alegado que la vivienda integre su vivienda habitual, sino que meramente invoca la necesidad de proteger a terceros posibles compradores y a la seguridad del tráfico jurídico. En consecuencia, los perjuicios que para el recurrente se derivarían de la ejecución de la resolución recurrida no serían más que meramente patrimoniales o económicos, ascendentes en el mejor de los casos al valor de tasación del bien, establecido en 47.566,58 €.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esto en cuenta la adopción de la medida, excepcional, de suspensión no se encuentra justificada al no haber acreditado el recurrente que la ejecución de la resolución recurrida le acarree perjuicios que pudieran hacer perder al amparo su finalidad, perjuicios catalogables de “difícilmente reparables por su entidad, por la imposibilidad de repercutir su costo o por la irreversibilidad de las situaciones jurídicas que puedan producirse” (en el mismo sentido, ATC 370/2005, de 24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