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5859-2014, promovido por don Verónica Diestro Villaplana, representada por la Procuradora de los Tribunales doña Gloria Llorente de la Torre y asistida por el Abogado don Raúl Tardío López, contra la Sentencia de 18 de junio de 2014 del Juzgado de lo Social núm. 1 de Badajoz, dictada en procedimiento ordinario núm. 220-2014. Ha intervenido el Ministerio Fiscal. Ha comparecido el Procurador de los Tribunales don Ramiro Reynolds Martínez, en representación del Excmo. Ayuntamiento de Santa Amalia (Badajoz), bajo la dirección letrada de don Antonio Prieto Benítez.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fecha 24 de septiembre de 2014 en la oficina de registro y reparto de asuntos civiles del Decanato de Madrid, y que tuvo entrada en este Tribunal el siguiente día 30, la Procuradora de los Tribunales doña Gloria Llorente de la Torre, actuando en nombre y representación de doña Verónica Diestro Villaplana, presentó recurso de amparo constitucional contra la Sentencia citada en el encabezamiento, al considerarla contraria al derecho fundamental consagrado en el art. 14 CE, segundo inciso, en su vertiente de prohibición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viene prestando sus servicios en régimen de contratación laboral en el Ayuntamiento de Santa Amalia (Badajoz), como enfermera en una residencia de mayores con turnos rotatorios de mañana y tarde. El día 10 de marzo de 2014 interesó una reducción de jornada de un 33 por 100 para atender a sus tres hijos menores, así como que se fijase la jornada en horario de mañana, de 9:00 a 13:30 horas, de lunes a viernes. Aducía que con tal horario podría llevar a sus hijos al colegio y a la guardería, así como recogerlos a la salida de éstos y encargarse de su cuidado el resto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por resolución de la Alcaldía de 13 de marzo de 2014, accedió a la reducción de la jornada solicitada, con proporcional minoración de su salario, pero indicó a la empleada que debía decidir y comunicar su concreción horaria en cada uno de los tres turnos de trabajo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señora Diestro presentó demanda de procedimiento ordinario reclamando la concreción horaria solicitada en el escrito que dirigió al Ayuntamiento el día 10 de marzo de 2014, con condena a éste a una indemnización por daños morales en razón del tratamiento discriminatorio que le impedía conciliar su vida familiar y laboral. Invocaba en su escrito de demanda los arts. 14 y 39 CE, además de normas legales y convencionales que estimaba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Social núm. 1 de Badajoz dictó la Sentencia desestimatoria recurrida en amparo, con el siguiente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consonancia con los principios de la ley Orgánica 3/2007 para la igualdad efectiva de mujeres y hombres, el art. 35,5 del E.T., reconoce el derecho a la reducción de jornada a quienes por razones de guarda legal, tengan a su cargo algún hijo o hijos menores en dicho año -o personas con discapacidad física o psíquica- con la disminución proporcional de su salario. La efectividad de este derecho, la concreción horaria, le corresponde efectuarla al trabajador pero dentro de su jornada ordinaria, (apartado 6 del citado art.), de tal modo que con base a este derecho pueda modificarse su jornada de trabajo en perjuicio de otros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actora, que presta sus servicios en un Centro Geriátrico como Enfermera, le ha sido reconocida la reducción de jornada, conforme solicitó, en un 33 por 100 pero lo que no es posible acceder a su pretensión en que le sea modificada su jornada de turnos, rotatorios de mañana y tarde a un turno fijo solo de mañana, por lo que procede, sin más, la íntegra desestimación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advertía a las partes, en la instrucción de recursos, de la posibilidad de interponer recurso de suplicación ante el Tribunal Superior de Justicia, que no fue formalizado.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recurrente en amparo se ha vulnerado el art. 14 CE, en su vertiente de prohibición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razonar que no era posible recurrir en suplicación, de conformidad con lo dispuesto en el art. 139.l b) de la Ley 36/2011, de 10 de octubre, reguladora de la Jurisdicción Social, señala la demanda de amparo que el juzgador desestimó la pretensión deducida amparándose en lo dispuesto en el artículo 37.6 de la Ley del estatuto de los trabajadores (LET), obviando, por un lado, las necesidades familiares expuestas por la trabajadora, con tres hijos menores a su cargo y un turno rotatorio de trabajo que cumplir, y, por otro, el hecho de que el Ayuntamiento de Santa Amalia no aportara prueba alguna acreditativa de las distorsiones organizativas que pudiera haber ocasionado la pretensión deducida. La Sentencia impugnada, por ello, lesiona el derecho fundamental invocado, dado que no aplicó la jurisprudencia de este Tribunal en la materia, que exige el examen de la dimensión constitucional del derecho consagrado en el art. 37.5 LET (STC 3/2007,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interesa que, con declaración de vulneración del derecho fundamental del art. 14 CE, acordemos la nulidad de la sentencia recurrida, ordenando la retroacción de las actuaciones al momento anterior al dictado de la misma a fin de que el juzgador emita un nuevo pronunciamiento en el que valore las circunstancias concurrentes y la dimensión constitucional del derecho reclamado, o, en su defecto y subsidiariamente, que declaremos la inconstitucionalidad de la expresión “dentro de su jornada ordinaria”, contenida en el artículo 37.6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Sección Cuarta de la Sala Segunda de este Tribunal, de 20 de julio de 2015, se acordó la admisión a trámite de la demanda de amparo. Habiéndose interesado con anterioridad la remisión de certificación de las actuaciones jurisdiccionales, en aplicación de lo dispuesto en el art. 51 de la Ley Orgánica del Tribunal Constitucional (LOTC), se solicitó al Juzgado de lo Social núm. 1 de Badajoz que procediera a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septiembre de 2015, el Procurador don Ramiro Reynolds Martínez solicitó que se le tuviera por personado en nombre y representación del Excmo. Ayuntamiento de Santa Amalia.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13 de octubre de 2015, se tuvo por recibido el anterior escrito del Procurador don Ramiro Reynolds Martínez, a quien se tuvo por personado y parte en la representación que ostenta, condicionado ello a que aportara en el plazo de diez días la escritura de poder original acreditativa de su representación. Se acordó, asimismo, abrir el plazo común de veinte días al Ministerio Fiscal y a las partes personadas,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se ratificó en el contenido de su demanda, según consta en escrito de 27 de octubre de 2015, incorporando en este trámite la referencia a diversos estudios de la doctrina científica sobre la regulación legal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el día 3 de noviembre de 2015, interesando la inadmisión de la demanda, por falta de agotamiento de la vía previa [art. 44.1 a) LOTC], o el otorgamiento del amparo en su defecto, caso de rechazarse el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argumentación subrayando que, si bien no era susceptible de recurso de suplicación la sentencia aquí impugnada, la subsidiariedad del amparo hacía preceptiva la interposición de un incidente de nulidad de actuaciones, que no formalizó la demandante. De su lado, en cuanto al fondo del asunto, considera que el juzgador desestimó de una manera casi apodíctica la pretensión de la trabajadora, sin examinar las razones esgrimidas ni constatar dificultades organizativas para el empleador, que siendo una Administración pública debe velar particularmente contra comportamientos discriminatorios. En suma, no se ponderó la dimensión constitucional del asunto, esto es, ni la superior protección constitucional del derecho de la trabajadora a permanecer en su actividad profesional sin discriminación por razón de su maternidad, ni el mandato de protección a la familia y a la infancia reconocido en el texto constitucional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cuarta de la Sala Segunda de este Tribunal, de 10 de noviembre de 2015, se tuvo al Ayuntamiento de Santa Amalia por decaído en su derecho, al haber transcurrido el plazo conferido a su Procurador, en virtud de lo acordado en resolución de 13 de octubre de 2015, para la aportación de la escritura del poder original acreditativa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2016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de fondo del presente recurso de amparo, atinente a si fue vulnerado el derecho de la recurrente a la no discriminación por razón de sexo (art. 14 CE), no puede ser abordada al haberse planteado fuera del plazo previsto a tal efecto en el art. 44.2 de la Ley Orgánica del Tribunal Constitucional (LOTC). Concurre en la demanda, así pues, el defecto de extemporaneidad que el art. 50.1 a) LOTC prevé como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actuaciones (diligencia de ordenación del Secretario judicial de 22 de agosto de 2014) muestran que la Sentencia impugnada en amparo fue notificada a la representación del recurrente el día 9 de julio de 2014. Como la demanda de amparo se presentó en la oficina de registro y reparto de asuntos civiles del Decanato de Madrid el día 24 de septiembre de 2014, resulta que entre esta fecha y la siguiente a la notificación de la resolución judicial había transcurrido un número holgadamente mayor de días hábiles que el de 30 que constituye el plazo de caducidad para la interposición del recurso de amparo (que vencía, en concreto, el día 19 de septiembre de 2014 a las 15:00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oponerse a esta decisión de inadmisión que se adopte en este momento procesal, tras la inicial admisión de la demanda de amparo, y mediante Sentencia. Este Tribunal ha declarado en constante jurisprudencia que los defectos insubsanables de que pudiera estar afectado el recurso de amparo no resultan sanados porque el recurso haya sido inicialmente admitido a trámite, de forma que la comprobación de los presupuestos procesales para la viabilidad de la acción pueden abordarse o reconsiderarse en la Sentencia, de oficio o a instancia de parte, dando lugar a un pronunciamiento de inadmisión por la falta de tales presupuestos, sin que para ello constituya obstáculo el carácter tasado de los pronunciamientos previstos en el art. 53 LOTC (entre tantas otras, SSTC 53/1983, de 20 de junio, FJ 2, o 118/2014, de 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como dijera en su fundamento jurídico único la STC 159/1998, de 13 de julio, o más tarde y literalmente la STC 174/2007, de 23 de julio, también en su único fundamento, “las importantes razones de seguridad jurídica y de igualdad en la aplicación de la Ley que impone la exigencia del requisito de tempestividad (SSTC 159/1998, de 13 de julio; 204/2005, de 18 de julio, FJ 2), y que hacen que el plazo para acudir a esta jurisdicción de amparo sea de caducidad, improrrogable y no susceptible de suspensión, y, por consiguiente, de inexorable cumplimiento (por todas, STC 85/2004, de 10 de mayo, FJ 2)”, determinan que proceda acordar la inadmisión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