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6446-2015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6446-2015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noviembre de 2015 tuvo entrada en el Registro General de este Tribunal un escrito del Juzgado de Primera Instancia núm. 5 de Alcobendas al que se acompaña testimonio del procedimiento de ejecución hipotecaria 663-2010 y del Auto de fecha 24 de abril de 2014 por el que se acuerda plantear cuestión de inconstitucionalidad en relación con la disposición transitoria cuarta de la Ley 1/2013, de 14 de mayo, de medidas para reforzar la protección a los deudores hipotecarios, reestructuración de la deuda y alquiler social, por posible vulneración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citado procedimiento de ejecución hipotecaria, tras los trámites oportunos (Auto despachando ejecución de 30 de junio de 2010 y subasta del bien hipotecado, el 27 de febrero de 2013), se procedió a adjudicar el inmueble a la entidad ejecutante (Ibercaja Banco, S.A.U.), a su instancia, por no haber asistido postores al acto de subasta, conforme establece el art. 671 de la Ley de enjuiciamiento civil (decreto del Secretario Judicial de 25 de marzo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diligencia de ordenación de 4 de junio de 2013, el Juzgado ordenó el lanzamiento de los ejecutados.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14 de junio de 2013, don J.C.G, uno de los ejecutados, presentó en el Decanato de los Juzgados de Alcobendas un “incidente de oposición en base al art. 695.1.4 de la Ley de enjuiciamiento civil”, introducido por la Ley 1/2013, de 14 de mayo, de medidas para reforzar la protección a los deudores hipotecarios, reestructuración de la deuda y alquiler social, haciendo constar expresamente que lo hacía dentro del plazo de un mes desde la entrada en vigor de la citada Ley 1/2013, según autorizaba a hacer su disposición transitoria cuarta.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citado incidente, tras poner de manifiesto el carácter abusivo de la “cláusula suelo” presente en su contrato de constitución de hipoteca, confirmado por el Auto de la Sala Primera del Tribunal Supremo de 9 de mayo de 2013, carácter que podía hacer valer en ese momento de acuerdo con la modificación del art. 695.1 de la Ley de enjuiciamiento civil efectuada por la Ley 1/2013 mencionada, solicitaba: (i) el planteamiento de una cuestión prejudicial ante el Tribunal de Justicia de la Unión Europea en relación con diversos aspectos de la Ley 1/2013; (ii) el planteamiento de una cuestión de inconstitucionalidad ante este Tribunal Constitucional en relación con el sistema de cómputo del plazo de un mes para hacer valer esta nueva causa de oposición a la ejecución introducida en el citado art. 695.1.4 de la Ley de enjuiciamiento civil por la Ley 1/2013, que se cuenta desde la entrada en vigor de la citada Ley 1/2013 y sin exigir una notificación individual al ejecutado, de acuerdo con su disposición transitoria cuarta, por considerar que dicho sistema de cómputo vulnera el derecho a la tutela judicial efectiva del art. 24.1 CE; y (iii) subsidiariamente, para el caso de que no se estimase lo anterior (plantear las cuestiones prejudicial y de inconstitucionalidad citadas), que el Juzgado tuviera por impugnadas por abusivas determinadas cláusulas de su contrato de hipoteca.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Recibido el incidente, el Juzgado, mediante diligencia de ordenación de la Secretaria Judicial de fecha 19 de junio de 2013 suspendió la ejecución hipotecaria y, a tenor de lo dispuesto en el art. 695 de la Ley de enjuiciamiento civil, citó a las partes a una vista el día 14 de noviembre de 2013 al objeto de ser oídos sobre “la oposición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Celebrada la vista, el Juzgado resolvió por Auto de 24 de abril de 2014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Acuerdo la nulidad del Decreto de adjudicación de 25 de marzo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Plantear cuestión prejudicial de interpretación al Tribunal de Justicia de la Unión Europea, a través de las siguientes cuestiones: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Elevación de cuestión prejudicial al Tribunal de Justicia de la Unión Europea relativa a la obligación de revisión de oficio de las cláusulas abusivas del título que se ejecuta en el contrato de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Elevación de cuestión prejudicial al Tribunal de Justicia de la Unión Europea relativa a la vulneración de la STJUE asunto Cofidis sobre preclusión realizada por la disposición cuarta (sic)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Tercero.- Plantear cuestión de inconstitucionalidad sobre la disposición transitoria cuarta de la Ley 1/2013, por vulneración del derecho a la tutela judicial efectiva regulado en el artículo 24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Cuarto.- Suspender la tramitación de la presente causa, en tanto se resuelven las presentes cuestiones.”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Contra el citado Auto, la parte ejecutante interpuso recurso de apelación ante la Audiencia Provincial de Madrid, que fue admitido a trámite. La Sección Decimoctava de la citada Audiencia Provincial, por Auto de 19 de enero de 2015, desestimó el mencionado recurso de apelación razonando, en lo que a este proceso interesa, que “no cabe recurrir en apelación la decisión tomada por la Juzgadora de plantear las cuestiones prejudiciales ante el Tribunal de Justicia ni la cuestión de inconstitucionalidad” ante el Tribunal Constitucional, sino que “lo precedente es que por parte del Juzgado se tramiten esas cuestiones”.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en lo que respecta a la cuestión de inconstitucionalidad que en el mismo se promueve, se limita a recoger, por referencia a lo argumentado por el ejecutado en el incidente de oposición formulado, que la disposición transitoria cuarta de la Ley 1/2013, en cuanto establece un plazo preclusivo de un mes a contar desde la publicación de la Ley en el “Boletín Oficial del Estado” sin necesidad de notificación individual a las partes en los procedimientos en trámite para hacer valer en esos procedimientos en curso la nueva causa de oposición a la ejecución introducida en el nuevo art. 695.1.4 de la Ley de enjuiciamiento civil (“el carácter abusivo de una cláusula contractual que constituya el fundamento de la ejecución o que hubiese determinado la cantidad exigible”) pudiera ser contraria al derecho a la tutela judicial efectiva sin indefensión garantizado en el art. 24.1 CE y al derecho a un proceso con todas las garantías del art. 24.2 CE, al considerar bastante la publicación de la Ley como forma de comunicación de la apertura de ese trámite de oposición y excluir expresamente la notificación individual a las partes interesadas acerca de la existencia de esta posibilidad.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diciembre de 2015, la Sección Cuarta del Tribunal Constitucional acordó oír al Fiscal General del Estado para que, en el plazo de diez días, y a los efectos que determina el art. 37.1 de la Ley Orgánica del Tribunal Constitucional (LOTC), alegase lo que considerase conveniente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28 de enero de 2016, en el que interesa la inadmisión de la cuestión de inconstitucionalidad por el “incumplimiento palmario y evidente de los requisitos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importancia que otorga a este trámite la doctrina de este Tribunal, como medio que asegura la intervención de las partes y permite al órgano promotor de la cuestión conocer la opinión al respecto de los sujetos interesados y del Ministerio Fiscal, concluye en base a ello que en este caso “no existió en realidad trámite de audiencia” y que esa falta constituye un “defecto insubsanable en el modo de proposición de la cuestión que hace que la misma resulte inadmisible” (cita los AATC 295/2006, FJ 2; 263/2006, FJ 3, y 164/2006, FJ único). Y así, señala los siguientes defectos en el cumplimiento del referido trámite: en primer lugar, el órgano judicial en ningún momento suscitó a las parte sus dudas sobre la constitucionalidad del precepto controvertido; en segundo término, la celebración de la vista de oposición a la ejecución del art. 695.2 de la Ley de enjuiciamiento civil y las alegaciones orales vertidas en ella no cumplen, tampoco, con el tenor literal del art. 35.2 LOTC, impidiendo además que este Tribunal Constitucional pueda tomar en cuenta esas alegaciones a los efectos de examinar la viabilidad de la cuestión misma y el alcance del problema constitucional planteado por el órgano judicial; (iii) en tercer lugar, en el presente caso tampoco se dio traslado al Ministerio Fiscal para formular alegaciones, tal como exige expresamente el mencionado art. 35.2 LOTC; (iv) y finalmente, en cuarto lugar, le parece que el Auto de planteamiento adolece de “notables deficiencias que le convierten en inidóneo para estimar correctamente planteada la cuestión” de inconstitucionalidad, reputando su contenido “confuso e impreciso”, y así, entre sus defectos principales, señala “que no hay la más mínima justificación sobre la idoneidad del momento procesal para su planteamiento, carece de toda explicación sobre el juicio de aplicabilidad y relevancia de la norma cuestionada … no precisa qué aspectos concretos del contenido de la norma o apartados de la misma son los cuestionados por el órgano judicial, ni qué manifestación del derecho a la tutela judicial efectiva se estaría lesionando”.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 su parecer, el “incumplimiento flagrante y patente” de la doctrina constitucional sobre el trámite de audiencia a las partes y al Ministerio Fiscal debe conducir 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5 de Alcobendas plantea cuestión de inconstitucionalidad en relación con la disposición transitoria cuarta de la Ley 1/2013, de 14 de mayo, de medidas para reforzar la protección a los deudores hipotecarios, reestructuración de la deuda y alquiler social. Le parece que el sistema de cómputo del plazo preclusivo de un mes establecido en la mencionada disposición para hacer valer la nueva causa de oposición a la ejecución introducida en el art. 695.1.4 de la Ley de enjuiciamiento civil (LEC) por la misma Ley 1/2013 en los procedimientos de ejecución que se encontraban en trámite en el momento de su entrada en vigor, que no exige notificación individual a los interesados, pudiera ser contrario al derecho a la tutela judicial efectiva garantizado en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1/2013 añadió al listado tasado de causas de oposición en los procedimientos de ejecución de títulos no judiciales la existencia de cláusulas abusivas en el título (art. 557.1.7 LEC), que no estaba previsto con anterioridad. Correlativamente, la Ley amplió también el listado específico de causas de oposición comprendido entre las normas especiales para la ejecución sobre bienes hipotecados o pignorados (arts. 681 y ss. LEC), añadiendo al mismo “el carácter abusivo de una cláusula contractual que constituya el fundamento de la ejecución o que hubiese determinado la cantidad exigible” (art. 695.1.4 LEC), y dispuso la inmediata aplicación de estas modificaciones a todos los procedimientos de ejecución en trámite en el momento de entrada en vigor de la Ley (disposición transitoria cuarta, apartado 1). Finalmente, para aquellos procedimientos en los que hubiese transcurrido ya el plazo de diez días para formular oposición previsto con carácter general en el art. 556.1 LEC pero que no hubieran culminado con la puesta en posesión del inmueble al adquirente conforme a lo previsto en el art. 675 LEC, la disposición transitoria cuarta de la Ley 1/2013 estableció que “las partes ejecutadas dispondrán de un plazo preclusivo de un mes para formular un incidente extraordinario de oposición basado en la existencia de las nuevas causas de oposición previstas en el apartado 7 del artículo 557.1 y 4 del artículo 695.1 de la Ley de enjuiciamiento civil” (apartado 2), con la particularidad de que el citado “plazo preclusivo de un mes se computará desde el día siguiente a la entrada en vigor de esta Ley” (mismo apartado 2, párrafo segundo) y “[l]a publicidad de la presente disposición tendrá el carácter de comunicación plena y válida a los efectos de notificación y cómputo” del indicado plazo, “no siendo necesario en ningún caso dictar resolución expresa al efecto” (disposición transitoria cuarta, apartado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trámite de admisión, y al amparo del art. 37.1 LOTC, se dio audiencia al Fiscal General del Estado para que alegase sobre la posible falta de condiciones procesales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indicado trámite, la Fiscal General del Estado ha informado sobre los presupuestos procesales de la cuestión suscitada y la ha considerado inadmisible por apreciar defectos insubsanables en el trámite de audiencia y en el Auto de planteamiento, defectos que han quedado debidamente detallados en el apartado de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y como ha apreciado la Fiscal General del Estado, la admisibilidad de una cuestión de inconstitucionalidad, requiere, entre otras “condiciones procesales” (art. 37.1 LOTC), el correcto cumplimiento del denominado trámite de audiencia, esto es, la preceptiva audiencia a las partes y al Ministerio Fiscal antes de elaborar el Auto de planteamiento de la cuestión de inconstitucionalidad por el órgano judicial promotor de la misma. Así lo exige expresamente el art. 35.2 LOTC, que dice que “antes de adoptar mediante auto su decisión definitiva, el órgano judicial oirá a las partes y al Ministerio Fiscal para que en el plazo común e improrrogable de diez días puedan alegar lo que deseen sobre la pertinencia de plantear la cuestión de inconstitucionalidad, o sobre el fondo de ésta; seguidamente y sin más trámite, el juez resolverá en el plazo de tres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consolidada jurisprudencia de este Tribunal, el trámite de audiencia “responde al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tanto … un requisito de todo punto inexcusable, cuya eventual omisión constituye un defecto en el modo de proposición de la cuestión que ha de determinar, tras el trámite previsto en el art. 37.1 LOTC, la inadmisión de la cuestión así suscitada” (entre otros muchos, AATC 220/2012, de 27 de noviembre, FJ 4, y 389/2008,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línea de continuidad con esta doctrina general, es asimismo “doctrina reiterada que la omisión del trámite de audiencia de una de las partes constituye sin duda una irregularidad del procedimiento que debe llevar a considerarlo incorrectamente tramitado (ATC 299/2005, de 5 de julio, FJ 3)” (AATC 220/2012, FJ 4, y 266/2014, de 4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falta de audiencia al Ministerio Fiscal por el Juzgado a quo antes de dictar el Auto promoviendo la presente cuestión de inconstitucionalidad debe conducir, por lo dicho, a declarar directamente su inadmisión (en el mismo sentido, para un caso de falta de audiencia del Fiscal, ATC 875/1985, de 5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Aunque el defecto apreciado bastaría ya para declarar la inadmisibilidad de la presente cuestión de inconstitucionalidad, la posibilidad, admitida por nuestra doctrina, de que una vez subsanados los defectos apreciados en el trámite de audiencia el mismo Juzgado pueda volver a plantear la misma cuestión de inconstitucionalidad [por todas, STC 27/2012, de 1 de marzo, FJ 2 A)] aconseja realizar las siguientes dos puntualizaciones adicionales.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que al igual que sucedió en el caso resuelto por el ATC 206/2014, de 22 de julio, dictado en relación con una cuestión idéntica a la aquí planteada, el momento procesal alcanzado en el proceso a quo no es ya el oportuno para el planteamiento de la cuestión de inconstitucionalidad suscitada, esencialmente por haber aplicado ya el órgano promovente la norma cuestionada, lo que, a su vez, da lugar a que la validez de la misma no sea ya determinante de la resolución que haya de dictarse, como exigen igualmente los arts. 163 CE y 35.1 LOTC (“de cuya validez dependa el fallo”) para la admisión de una cuestión de inconstitucionalidad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de la misma manera que en aquel caso, en este “la disposición legal cuestionada, en lo que resulta relevante para el caso (esto es, en su apartado 2), fue ya aplicada por el Juzgado promotor; lo que torna en inadmisible el planteamiento de la cuestión. Según resulta de las actuaciones, antes de proceder a la apertura del trámite de audiencia del art. 35.2 LOTC (por Auto de 4 de noviembre de 2013) el órgano judicial ya había aplicado las previsiones de la disposición transitoria cuarta de la Ley 1/2013. Mediante diligencia de ordenación de 16 de octubre de 2013 [aquí, de 19 de junio de 2013], el Juzgado tuvo por formulado el incidente extraordinario de oposición presentado por la parte ejecutada conforme a lo previsto en el apartado 2 de dicha disposición, en el que denuncia la existencia de cláusulas abusivas en el contrato de préstamo hipotecario; se procedió a la tramitación del incidente, con suspensión del proceso principal hasta su resolución, conforme a lo previsto igualmente en el apartado 2 de la misma disposición; de suerte que se ha hecho efectivo el control judicial de las posibles cláusulas abusivas” (ATC 2016/2014 citado, FJ 3). En el mismo sentido, ATC 76/2015, de 28 de abril, FJ 3, también sobre la disposición transitoria cuarta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los antecedentes expuestos resulta que en este caso el incidente extraordinario de oposición basado en la existencia de esta nueva causa de oposición a la ejecución introducida por la Ley 1/2013 (carácter abusivo de determinadas cláusulas del contrato de constitución de hipoteca) se presentó por el ejecutado antes de transcurrir el plazo de un mes desde la entrada en vigor de la Ley 1/2013 previsto en la disposición transitoria cuarta, y a pesar de no haber recibido aquél una notificación individual al respecto. Efectivamente, si la Ley 1/2013 entró en vigor el “el día de su publicación en el ‘Boletín Oficial del Estado’” de acuerdo con su disposición final cuarta, y esta publicación se produjo en el “BOE” núm. 116, de 15 de mayo de 2013, entonces el “incidente extraordinario de oposición” presentado por el ejecutado en el Decanato de los Juzgados de Alcobendas el día 14 de junio de 2013 se presentó antes de haber expirado el plazo de un mes desde la entrada en vigor de la Ley previsto en la disposición transitoria cuarta. Y ello, como ya se ha advertido, con independencia de que el ejecutado no hubiese recibido una notificación específica sobre la posibilidad de abrir de este nuevo trámite de oposición. Siendo este, precisamente, el extremo cuestionado por el órgano promovente, que deviene así en irrelevante para la resolución del incidente (resolución, por lo demás, ya dictada, como ya se ha expuesto). Ello hace que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83/2015, de 30 de abril, FJ 3, con cita de otras en el mismo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sin perjuicio de lo resuelto por el Tribunal de Justicia de la Unión Europea a propósito de esta falta de notificación individual en su Sentencia de 29 de octubre de 2015 (asunto C-8/2014), posterior al planteamiento de la presente cuestión de inconstitucionalidad, pero que deberá incidir en la aplicación de la disposición transitoria cuarta de la Ley 1/2013 por los órganos de la jurisdicción ordinaria tras su dictado, de conformidad con el principio de primacía y la doctrina del acto claro o “aclarado” que este Tribunal ha validado (DTC 1/2004, de 13 de diciembre, FJ 4, y STC 232/2015, de 5 de noviembre, FJ 6,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lo cual, como ya se ha dicho, redunda en la inadmisibilidad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