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febrero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4960-2015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4960-2015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resolución recurrida y de toda actuación judicial sucesiva que pueda tener como efecto la adjudicación a terceros de los inmuebles controvertidos.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7 de septiembre de 2015 tuvo entrada en el Registro General de este Tribunal escrito firmado por la Procuradora de los Tribunales doña Isabel Juliá Corujo, en nombre y representación de Sporafrik, S.L., en virtud del cual interponía recurso de amparo contra el Auto del Juzgado de Primera Instancia núm. 2 de Orihuela de 24 de junio de 2015, dictado en autos de ejecución hipotecaria núm. 175-2014, que desestimó la solicitud de nulidad de actuaciones promovida por la sociedad citada, así como contra todas las actuaciones posteriores a la admisión de la demanda de ejecución hipotecaria y notificación y emplazamiento de la ahora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la sociedad demandante de amparo se siguió un proceso de ejecución hipotecaria a instancias del Banco Popular, S.A. De conformidad con lo dispuesto en los arts. 225 y siguientes de la Ley de enjuiciamiento civil, Sporafrik, S.L., interesó la nulidad de actuaciones, aduciendo indefensión. Denunciaba que el emplazamiento se realizó por edictos en un domicilio distinto al inscrito en el Registro Mercantil, al haber sido objeto de modificación dicho domicilio por escritura autorizada el día 12 de marzo de 2009, inscrita en el Registro Mercantil de Alicante, y publicada en el “Boletín Oficial del Registro Mercantil” el día 5 de junio de 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24 de junio de 2015 desestimó la solicitud de nulidad considerando que no se había producido vulneración alguna del derecho del recurrente ni de la doctrina constitucional en la materia (extracta la STC 122/2013, de 20 de mayo), dado que “en nuestro caso, se fijó un domicilio a efectos de notificaciones en la escritura pública, sin que en el procedimiento hubiera constancia de ningún otro domicilio real distinto del demandado”. De hecho, añade a renglón seguido, “en la escritura de novación de hipoteca de fecha 29 de septiembre de 2010, objeto de autos, se indica por el ejecutado como domicilio a efectos de notificaciones calle … 43, bajo de Alicante, y dicha escritura es de fecha posterior al cambio social del domicilio que invoca la ejecutada que data del año 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sociedad demandante de amparo denuncia en su recurso la vulneración del derecho a la tutela judicial efectiva sin indefensión (art. 24.1 CE). A su juicio, el razonamiento del Juzgado descarta la obligación del órgano judicial de averiguar el domicilio real y efectivo de la parte demandada, en contra de lo que dispusieron las SSTC 122/2013, de 20 de mayo, y 89/2015, de 11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otrosí la suspensión de los efectos del Auto recurrido, con el fin de que no se cause un daño irreparable con la adjudicación a la ejecutante de los inmuebles controvertidos.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 de febrero de 2016, la Sección Cuarta de este Tribunal acordó admitir a trámite el recurso de amparo. Por providencia de la misma fecha, la Sección acordó formar la oportuna pieza para la tramitación del incidente de suspensión y, conforme a lo dispuesto en el art. 56 de la Ley Orgánica del Tribunal Constitucional,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el 11 de febrero de 2016, la Procuradora doña Isabel Juliá Corujo, en nombre y representación de Sporafrik, S.L., formuló sus alegaciones, afirmando, en síntesis, que de no acordarse la suspensión se producirían perjuicios irreparables ya que los inmuebles de su propiedad podrían pasar al dominio de terceros de manera legalmente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registrado el 15 de febrero de 2016, se opone a la suspensión solicitada. Tras exponer los antecedentes del caso, señala que nos encontramos ante una decisión de contenido patrimonial que afecta a propiedades inmobiliarias, por lo que podrían restaurarse los derechos afectados por la vía indemnizatoria en caso de que se llegara a culminar la adjudicación de los bienes. Por lo demás, añade, tratándose de un inmueble empresarial, no quedan afectados otros bienes de prevalencia en caso de conflicto, como ocurriría en el supuesto de que la hipoteca gravara una vivienda familiar.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se ha expuesto en los antecedentes de esta resolución, la sociedad demandante de amparo ha denunciado la indefensión que dice haber sufrido al no habérsele notificado correctamente por el Juzgado de Primera Instancia núm. 2 de Orihuela el procedimiento de ejecución hipotecaria núm. 175-2014. Por este motivo ha solicitado la suspensión cautelar de los efectos del Auto de 24 de junio de 2015, ya que, según ha razonado, de no acordarse la suspensión de su ejecución y efectos aparejados a ella podrían producirse actos de adjudicación sobre bienes inmuebles de su propiedad y consolidarse una situación difícilmente reversible. El Ministerio Fiscal considera, en cambio, que no procede la concesión de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una consolidada doctrina constitucional, de la que es buena muestra el ATC 74/2013, de 8 de abril, y las resoluciones que en él se citan, este Tribunal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esta doctrina constitucional, y sin prejuzgar la decisión de fondo del recurso, procede acordar la suspensión solicitada, puesto que en otro caso se podría llegar a materializar la transmisión del dominio de los bienes inmuebles controvertidos, tanto por haberlo solicitado el ejecutante en escritos de 24 de febrero, 7 de mayo y 9 de julio de 2015, presentados al órgano judicial una vez celebrada subasta el 23 de febrero de 2015 sin que compareciera ningún licitador, como por el hecho de haber sido señalada una segunda subasta (folio 286 de las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Podría crearse, en consecuencia, una situación difícilmente reversible que haría perder al recurso de amparo su finalidad. Por lo demás, no se advierte en este momento procesal, atendidas las circunstancias efectivamente acreditadas, que la suspensión de la ejecución pueda entrañar una perturbación grave a un interés constitucionalmente protegido o a los derechos fundamentales o libertades públicas de un tercero.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resolución recurrida y de toda actuación judicial sucesiva que pueda tener como efecto la adjudicación a terceros de los inmuebles controvertidos.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febrero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