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5755/2012 promovido por la Asamblea de Extremadura contra los arts. 27 y 38 del Real Decreto-ley 20/2012, de 13 de julio, de medidas para garantizar la estabilidad presupuestaria y de fomento de la competitividad.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octubre de 2012, dos Diputados de la Asamblea de Extremadura, comisionados al efecto por el Pleno de la Cámara, promueven recurso de inconstitucionalidad contra los arts. 27 y 38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38 del Real Decreto-ley 20/2012 la demanda recuerda la doctrina constitucional acerca de la autonomía financiera de las Comunidades Autónomas señalando que la máxima expresión de esa autonomía se pone de manifiesto cuando una Comunidad Autónoma crea una nueva figura tributaria, con los límites constitucionalmente establecidos, por su Estatuto de Autonomía y por la Ley Orgánica 8/1980, de 22 de septiembre, de financiación de las Comunidades Autónomas (LOFCA). Señala a continuación que la modificación por el Real Decreto-ley 20/2012 de los apartados 4 del art. 17 y 5 del art. 18 de la Ley 54/1997, de 27 de noviembre, del sector eléctrico, al disponer la repercusión obligatoria de los tributos o recargos autonómicos que graven este ámbito a los consumidores que residan en su territorio, modifica un aspecto esencial, la prohibición de repercusión a los consumidores de energía, de la regulación de un tributo autonómico, creado por la Ley 7/1997, de 29 de mayo, de medidas fiscales sobre la producción y el transporte de energía que incidan sobre el medio ambiente, como expresión de su naturaleza extrafiscal. Dicha obligación de repercusión haría perder al tributo autonómico su finalidad. La demanda argumenta que carece de sentido “obligar a repercutir un impuesto cuando puede controlarse que su pago no genera ningún efecto en el precio final de la energía”. A la expresa vulneración de la autonomía financiera autonómica se sumaría, según la demanda, la contradicción que la obligación de repercusión supone, repercusión que ha sido ya expresamente prohibida por el legislador autonómico en el art. 16.2 del Decreto Legislativo 2/2006, de 12 de diciembre, por el que se aprueba el texto refundido de las disposiciones legales de la Comunidad Autónoma de Extremadura en materia de tributos propios. Contradicción que, en aplicación del principio de competencia, ha de resolverse a favor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27 se alega que las modificaciones introducidas en el régimen de los horarios comerciales infringen la distribución de competencias entre el Estado y las Comunidades Autónomas, vulnerando lo establecido en el art. 9.1.16 del Estatuto de Autonomía de Extremadura que atribuye a esa Comunidad Autónoma competencias exclusivas en materia de comercio minorista. La demanda alude a la doctrina constitucional acerca de la posible incidencia de normas básicas sobre las competencias autonómicas en materia de comercio interior al amparo del art. 149.1.13 CE, pero estima que “si bien el Estado puede legislar con carácter básico sobre la libertad de horarios, lo que no puede hacer es limitarlos de forma absoluta, descendiendo en la regulación con tal grado de detalle que impida la legislación de desarrollo autonómica”. La Asamblea de Extremadura entiende que los objetivos que dicen perseguirse por la norma impugnada no justifican su adopción al amparo del art. 149.1.13 CE, argumentando la imposibilidad de que los fines buscados por las reformas en los horarios comerciales permitan vaciar la competencia autonómica, dado que no tendrían la incidencia directa y significativa en la actividad económica general. Por el contrario, la demanda sostiene que “la estructuración u ordenación del mercado de la distribución corresponde en primera instancia a las Comunidades Autónomas a las que el bloque de la constitucionalidad ha atribuido la competencia exclusiva sobre comercio interior y, en consecuencia, la posibilidad de diseñar políticas comerciales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noviembre de 2012 el Pleno, a propuesta de la Sección Segunda, acordó admitir a trámite el recurso de inconstitucionalidad promovido por la Asamblea de Extremadura en relación con los arts. 27 y 38 del Real Decreto-ley 20/2012, de 13 de julio, de medidas para garantizar la estabilidad presupuestaria y de fomento de la competitividad;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19 de noviembre de 2012 el Abogado del Estado se personó en nombre del Gobierno solicitando una prórroga en el plazo inicialmente concedido para la formulación de alegaciones, prórroga que le fue concedida por providencia del Pleno de 20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23 de noviembre de 2012, el Presidente del Congreso de los Diputados comunicó el acuerdo de la Mesa de la Cámara de personarse en el procedimiento y ofrecer su colaboración a los efectos del art. 88.1 LOTC. Lo mismo hizo el Presidente del Senado mediante escrito registrado el día 28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en representación del Gobierno, fueron registradas en este Tribunal el día 17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38 del Real Decreto-ley 20/2012 indica que la demanda funda sus alegaciones en la contradicción con una norma autonómica, el art. 16.2 del Decreto Legislativo 2/2006, de 12 de diciembre, por el que se aprueba el texto refundido de las disposiciones legales de la Comunidad Autónoma de Extremadura en materia de tributos propios. Por el contrario considera que el encuadramiento correcto de la cuestión controvertida lleva a considerar que la norma supone un adecuado ejercicio de las competencias estatales en relación con el régimen económico del sector eléctrico, tal como se definen en las SSTC 18/2011 y 148/2011, siendo el título estatal prevalente para su establecimiento el del art. 149.1.13 CE. Conforme con ello estima que el legislador básico estatal, dentro del ámbito de sus competencias, se limita a garantizar la existencia de un régimen económico único para todo el territorio nacional del sector eléctrico, evitando que el sobrecoste originado por decisiones con vigencia territorial limitada afecten a todos los consumidores de España. Lo que el legislador estatal pretende con la reforma impugnada “es que los tributos autonómicos no tengan repercusión en el precio final de la energía eléctrica que se deba pagar en todo el territorio nacional, sino que se soporte en aquellas Comunidades Autónomas que decidan imponerlo, en coherencia con el principio de territorialidad consignado en el artículo 9 LOFCA”. Esta finalidad se concreta sin cuestionar las decisiones autonómicas de imponer determinados tributos mediante una previsión que “garantice que el desenvolvimiento y la aplicación del tributo no tenga incidencia en los precios del sistema eléctrico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27, el Abogado del Estado considera que debe inadmitirse el recurso por incumplimiento de la carga alegatoria pues la demanda “no especifica qué apartados de este extenso precepto considera inconstitucionales y tampoco del cuerpo del escrito se deducen concretos reproches a sus diferentes enunciados más allá de la genérica alegación de que la regulación estatal habría alcanzado ‘tal grado de detalle que impid(e) la legislación de desarrollo autonómica’”, sin que esa afirmación se proyecte a concretos preceptos o enunciados del extenso art.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Tribunal decida entrar en el fondo del asunto el Abogado del Estado justifica la plena constitucionalidad del precepto impugnado. Comienza aludiendo a la doctrina constitucional sobre la extensión de las bases en materia de horarios comerciales en las que se han examinado normas estatales que permitían muy diversos grados de liberalización y, por tanto, un correlativo mayor o menor espacio de desarrollo autonómico. De dicha doctrina el Abogado del Estado deduce que “el Tribunal ha reiterado que cuando la normativa estatal básica desregule, por liberalizar, un sector, resulta lógico que no permita normativa autonómica de desarrollo, salvo que ésta se limitase a reproducir la liberalización ya efectuada desde la norma básica. Pero es que además, una norma básica que afecte sólo a una submateria —horarios comerciales— de un título competencial autonómico más amplio —comercio interior—, nunca puede producir un vaciamiento, por sí sola, de esta competencia, dado que ésta siempre tendría un ámbito material más extenso sobre el que podría seguir desplegándose, y que no quedaría afectado por el ejercicio por el Estado de la competencia liberalizadora en materia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defiende el carácter materialmente básico del precepto señalando que el mismo “pretende establecer un régimen mínimo de libertad de horario, dentro del cual el legislador autonómico pueda optar por grados superiores de liberalización; articulándose, por tanto, según el esquema clásico del par bases-norma de desarrollo”. El art. 27 del Real Decreto-ley 20/2012 da nueva redacción a los artículos 3.1, 4 y 5 de la Ley 1/2004, de 21 de diciembre, de horarios comerciales. La nueva redacción del artículo 3.1 de la Ley de horarios comerciales fija el número de horas mínimas en que los comercios podrán estar abiertos semanalmente en 90, frente a las 72 que establecía la redacción anterior. Para el Abogado del Estado se trata de una formulación típicamente básica en la que se opta por fijar un mínimo nacional de liberalización por razones económicas, que las Comunidades Autónomas pueden aumentar, gozando, por tanto, de margen de desarrollo. El art. 4 de la Ley de horarios comerciales, al modificar el régimen de domingos y festivos de apertura, se limita a concretar mínimos de liberalización que pueden incrementarse y lo mismo sucede con los criterios dentro de los cuales las Comunidades Autónomas deberán decidir, en ejercicio de su autonomía, qué concretos domingos y festivos permiten a los comercios abrir en sus territorios. Respecto al art. 5, entiende que la queja se circunscribe a los apartados 4 y 5, pues los restantes se ajustan a la doctrina de la STC 140/2011. En cuanto a los mencionados entiende que no se les puede reprochar el agotamiento de la regulación por cuanto el Estado se ha limitado a precisar los criterios mínimos que deben seguir las Comunidades Autónomas para determinar las denominadas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rebate, aludiendo a la memoria de impacto normativo del Real Decreto-ley 20/2012, las afirmaciones de la demanda acerca de la falta de incidencia de las medidas sobre el sistema económico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la Asamblea de Extremadura contra los arts. 27 y 38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representación procesal de la Asamblea de Extremadura denuncia que el art. 27 vulnera las competencias autonómicas en materia de comercio, alegando que la modificación de la normativa en materia de horarios comerciales no cumple el requisito de resultar eficaz para el fomento de la actividad económica y no puede ampararse en el art. 149.1.13 CE. Por su parte al art. 38 se le imputa la vulneración de la autonomía financiera de la Comunidad Autónoma, en cuanto que, al disponer la repercusión obligatoria de los tributos o recargos autonómicos a los consumidores del territorio, altera la previa configuración de un tributo autonómico en el que establecía expresamente la prohibición de repercusión a los consumidores de energía. El Abogado del Estado ha negado las vulneraciones denunciadas respecto al art. 38 y solicitando la inadmisión y, subsidiariamente, la desestimación del recurso, en lo relativo al art.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impugnación planteada es necesario pronunciarse acerca del óbice procesal formulado por el Abogado del Estado que ha solicitado la inadmisión del recurso en lo que respecta al art. 27 del Real Decreto-ley 20/2012, dado que, a su entender, la demanda no habría justificado la vulneración competencial que le imputa, incumpliendo con ello la necesaria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notorio que la carga argumental en torno a la inconstitucionalidad del precepto corresponde a la parte que lo impugna. Al igual que afirmamos en las SSTC 195/2012, de 31 de octubre, FJ 4, y 84/2013 de 11 de abril, FJ 3, “resulta de aplicación la doctrina recopilada en la STC 158/2011, de 19 de octubre, según la cual ‘no basta la mera invocación formal de los preceptos en la demanda (STC 98/1989, de 1 de junio,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de 12 de mayo, FJ 7 B); 214/1994, de 14 de julio, FJ 3; 195/1998, de 1 de octubre, FJ 1]. Efectivamente, hemos de recordar aquí una vez más que la impugnación de las normas debe ir acompañada de la preceptiva fundamentación y precisión que permitan conocer las razones por las que los recurrentes entienden que las disposiciones impugnadas transgreden el orden constitucional (SSTC 118/1996, de 27 de junio, FJ 2; y 118/1998, de 4 de junio,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Tribunal no puede reconstruir de oficio la demanda ni suplir las razones de los recurrentes cuando éstas no se aportan en su recurso (entre otras muchas, STC 208/2014, de 15 de diciembre, FJ 4), pero, teniendo presentes las alegaciones de la demanda, hemos de concluir que en este caso se ha cumplido la carga alegatoria. La demanda cita expresamente tanto los preceptos constitucional, art. 149.1.13 CE, como estatutario, art. 9.1.16 del Estatuto de Autonomía de Extremadura, que entiende vulnerados y, a partir de ellos, desarrolla una argumentación en el que la infracción de la competencia autonómica en materia de comercio interior, por el carácter excesivamente detallado de la regulación que impide el desarrollo autonómico, se vincula a la queja genérica de la falta de carácter básico del precepto impugnado por no tratarse de una medida de política económica que pueda adoptarse por el Estado al amparo del art. 149.1.13 CE. Es cierto que, como alega el Abogado del Estado, la argumentación se formula de un modo genérico o global, pues esas afirmaciones no se concretan luego respecto a cada uno de los aspectos de la regulación de los horarios comerciales a los que se refiere el impugnado art. 27. No obstante, dicha argumentación, aun siendo sucinta, resulta, sin duda, expresiva de la reivindicación planteada y no puede ser calificada de insuficiente, pues se indican tanto las razones de la vulneración competencial que se denuncia (la insuficiencia del título competencial estatal y la minuciosidad de las normas impugnadas que dejarían sin contenido las competencias autonómicas) como el precepto estatutario atributivo de las competencias autonómicas que se entienden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examinar la incidencia que sobre el objeto de este proceso constitucional tengan tanto las modificaciones sobrevenidas de los preceptos impugnados como decisiones anteriores de este Tribunal, en concreto la STC 136/2015,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los apartados 4 y 5 del art. 5 de la Ley 1/2004, de 21 de diciembre, de horarios comerciales, a los que se refiere el art. 27 del Real Decreto-ley 20/2012 han sido posteriormente modificados, primero, por el art. 7.1 y 2, del Real Decreto-ley 8/2014, de 4 de julio, de aprobación de medidas urgentes para el crecimiento, la competitividad y la eficiencia y, finalmente, por el art. 7.1 y 2, de la Ley 18/2014, de 15 de octubre, de la misma denominación, que, respectivamente, añadieron dos nuevos párrafos al apartado 4 del art. 5 de la Ley de horarios comerciales; y el segundo, modificó el texto del apartado 5 de ese mismo art. 5 de la Ley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modificaciones no afectan, sin embargo, al objeto del presente proceso constitucional por cuanto las normas posteriores vienen a plantear, en esencia, los mismos problemas competenciales que la norma impugnada. Resulta entonces de aplicación nuestra doctrina respecto a los procesos promovidos por causa de vulneración del orden constitucional de distribución de competencias en la que hemos insistido, como excepción a la regla general sobre la carencia de sentido que tiene para el Tribunal pronunciarse en un recurso de inconstitucionalidad sobre normas que el legislador ha expulsado del ordenamiento mediante su derogación, en que “la función de preservar los ámbitos respectivos de competencias no puede quedar enervada por la sola derogación o modificación de las disposiciones cuya adopción dio lugar al litigio (SSTC 182/1988, FJ 1; 248/1988, FJ 2; y 167/1993, FJ 2; 329/1993, FJ 1; 165/1994, FJ 2; y 196/1993, FJ 2)” [STC 134/2011, de 20 de julio, FJ 2 b)].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y STC 147/1998, fundamento jurídico 5)” [STC 134/2011, FJ 2.b)].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STC 136/2015 ha declarado la inconstitucionalidad y nulidad del art. 38 y de la disposición adicional decimoquinta del Real Decreto-ley 20/2012 por vulneración del art. 86.1 CE. De acuerdo con ello y conforme a nuestra doctrina (al respecto, STC 259/2007, de 19 de diciembre, FJ 2, y las allí citadas) ha desaparecido sobrevenidamente el objeto de este proceso constitucional en relación con el art. 38 del Real Decreto-ley 20/2012, quedando circunscrito al art. 27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art. 27 del Real Decreto-Ley 20/2012 se le reprocha la vulneración de las competencias autonómicas en materia de comercio interior, vulneración que es negada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viene a modificar determinados preceptos de la Ley de horarios comerciales. Así, el apartado uno modifica el art. 3.1 de la Ley de horarios comerciales, estableciendo que el horario global en el cual los comercios podrán desarrollar su actividad en días laborables no podrá ser restringido por las Comunidades Autónomas a menos de 90 horas. El apartado dos reforma el art. 4 de la Ley de horarios comerciales, relativo a la apertura de los comercios en domingos y festivos, los cuales se fijan en un mínimo de dieciséis, número que podrá ser incrementado y disminuido por las Comunidades Autónomas pero no por debajo de diez, teniendo en cuenta para determinar los festivos de apertura los criterios prioritarios formulados al efecto por el apartado 5 de este art. 4. Finalmente, el apartado tres da una nueva redacción al art. 5 de la Ley de horarios comerciales, fijando la regla de la plena libertad de horario para los denominados “establecimientos con régimen especial de horarios”, entre los cuales se encuentran los ubicados en las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art. 27 se afirma dictado al amparo del art. 149.1.13 CE, según establece la disposición final cuarta del propio Real Decreto-ley 20/2012. Fundamento competencial que es negado por la Asamblea de Extremadura argumentando, en primer lugar, que la modificación de la normativa en materia de horarios comerciales no tendría una incidencia directa y significativa en la actividad económica general y, en segundo lugar, que su grado de detalle excluye la intervención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impugnación hemos de partir de la doctrina de las SSTC 156/2015, de 9 de julio, FFJJ 9 y 10, y 18/2016, de 4 de febrero, FJ 9. En ambas ya establecimos que el Estado al dictar las reglas impugnadas contenidas en el art. 27 del Real Decreto-ley 20/2012, con el carácter de norma básica ex art. 149.1.13 CE, se ha atenido a un ejercicio adecuado de sus competencias, sin incurrir en un exceso competencial vulnerador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argumentos expuestos en la demanda puede modificar la anterior conclusión, pues, además, se formulan de modo genérico, de modo que nuestra contestación tampoco ha de ser exhaustiva (en el mismo sentido, STC 197/2015, de 24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 alega la falta de cobertura de la regulación estatal de horarios comerciales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puede ser estimada, ya que, como hemos advertido, la intervención estatal en la regulación de los horarios comerciales ya ha sido reconocida por nuestra doctrina por su carácter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(STC 88/2010, de 15 de noviembre, FJ 5, reiterado en STC 26/2012, de 1 de marzo, FJ 7). Tampoco, frente a lo argumentado en la demanda, nos corresponde formular juicios acerca de si la norma es susceptible o no de conseguir los objetivos de política económica perseguidos, sino exclusivamente determinar si los preceptos sometidos a nuestro enjuiciamiento encuentra amparo en el art. 149.1.13 CE en los términos exigidos por la doctrina de este Tribunal [STC 18/2016,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vertiente de la queja es la imposibilidad de desarrollo de las normas estatales, con el consiguiente vaciamiento de la competencia autonómica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tampoco puede ser acogida pues, para la consecución de los objetivos básicos que persigue, la norma estatal únicamente pretende establecer un régimen dentro del cual cabe legítimamente la opción de la regulación autonómica. Dicha regulación se desprende del propio precepto impugnado, que debe ser completado por la normativa de las Comunidades Autónomas en varios de sus aspectos (horario global de los comercios; fijación del número y determinación de los domingos y festivos de apertura autorizada o delimitación de zonas de gran afluencia turística, entre otros). De esta manera no se agotan las posibilidades de que el legislador autonómico con competencia para ello pueda llevar a cabo desarrollos normativos de la norma básica [STC 156/2015, FJ 10, específicamente respecto a la apertura de comercios en domingos y festivos y a las zonas de gran afluencia turística, reiterado en STC 18/2016,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mismo sentido, cabe recordar que la doctrina de este Tribunal sobre el límite de la legislación básica no puede proyectarse únicamente sobre un aspecto parcial de la competencia autonómica, como serían los horarios comerciales, en relación con la entera materia objeto de esa competencia autonómica. Es claro que las competencias autonómicas, en particular la de comercio interior, que se relacionan con las previsiones estatales en materia de horarios que hemos considerado básicas, se ven afectadas en su extensión, pero la afectación se produce de tal modo que no impide, en lo restante, el pleno desenvolvimiento de la competencia autonómica en materia de comercio interior cuya vulneración se ha denunciado en este proceso. Esta última posee un ámbito mucho más extenso, mientras que la norma del Estado sólo afecta a una materia o subsector específico dentro de ese ámbito, el relativo al régimen de horarios comerciales. Así, no cabe estimar producido un vaciamiento de aquella competencia, aunque se haya reducido en una concreta materia o subsector específicos [STC 284/1993, de 30 de septiembre, FJ 4 c), citando la STC 225/1993, de 8 de julio, FJ 4 b), y STC 170/2012, de 4 de octubre, FJ 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extinción del recurso por desaparición sobrevenida de su objeto respecto del art. 38 del Real Decreto-ley 20/2012, de 13 de julio, de medidas para garantizar la estabilidad presupuestaria y de fomento de la competitividad.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