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 de febrero de 2015 en el recurso de amparo núm. 3868-2013.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21 de junio de 2013 la Procuradora de los Tribunales doña Esperanza Azpeitia Calvin, en representación de los demandantes de amparo, bajo la dirección letrada de don Jesús Feliu Daviu, presentó demanda de amparo contra el Auto de 28 de mayo de 2013, dictado por el Juzgado de Primera Instancia núm. 2 de Denia, en el procedimiento de ejecución hipotecaria núm. 610-2012, que declaró no haber lugar al incidente de nulidad de actuaciones planteado por los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alegaba que el órgano judicial incumplió la doctrina constitucional sobre emplazamientos y notificaciones, al acudir al emplazamiento por edictos sin agotar las posibilidades que tenía a su alcance para conseguir la notificación personal en el domicilio real. Los recurrentes afirman que el órgano judicial se limitó a intentar el emplazamiento de los ejecutados en el domicilio que constaba de modo incompleto en la escritura de constitución de la hipoteca, y sin realizar ningún tipo de averiguación —pese a que en la demanda de ejecución hipotecaria constaba otro domicilio en Alemania—, procedió a la notificación edictal. Refieren los ejecutados que conocieron la existencia del procedimiento cuando se procedió a notificarles de forma personal el Auto de adjudicación de la vivienda subastada. Consideran que dicho proceder ha vulnerado el derecho a la tutela judicial efectiva (art. 24.1 CE), a un proceso con todas las garantías y el derecho de defensa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 de febrero de 2015, la Sección Segunda del Tribunal Constitucional, acordó inadmitir a trámite el recurso de amparo por no apreciar en el mismo la especial trascendencia constitucional que, como condición para su admisión, requiere el art. 50.1.b)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5 de marzo de 2015, el Ministerio Fiscal presentó recurso de súplica frente a la providencia de inadmisión. Tras sintetizar la demanda de amparo, expone que los demandantes han justificado la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en relación con la causa de inadmisión apreciada en la providencia recurrida, indica que la especial trascendencia constitucional derivaría del nuevo marco normativo surgido con la aprobación de la Ley 13/2009, de 3 de noviembre, y la Ley 4/2013, de 4 de junio, que dieron una nueva redacción a los arts. 156.4, 164 y 686.3 de la Ley de enjuiciamiento civil, siendo este nuevo marco normativo el que dota de especial trascendencia al amparo. A tal efecto, trae a colación la STC 122/2013, que abordó, desde la óptica constitucional, el examen de la referida Ley 13/2009. Añade que la práctica judicial pone de manifiesto la existencia de una interpretación y aplicación de los nuevos preceptos legales de modo contrario a la tradicional doctrina sobre los emplazamientos edictales, indicando que se viene denunciando dicho incumplimiento en los recursos de amparo núms. 200-2014, 6009-2014 y 6076-2014. Afirma que es este nuevo marco normativo el que dota de especial trascendencia constitucional al recurso, tal y como reitera la reciente resolución de admisión del recurso de amparo núm. 6076-2014, de la Sección Tercera de este Tribunal, de fecha 18 de febrero de 2015. Considera que además la especial trascendencia constitucional derivaría de la repercusión social y económica que han adquirido en los últimos tiempos las ejecuciones hipotecarias y los desahucios como consecuencia de la crisis económica y la necesidad de reforzar la protección jurídica efectiva de los ejecutados en este tipo de procedimientos “dada la situación de inferioridad en que se encuentran, como se viene reclamando desde las instancias europeas”, situación esta que permitiría incluir el recurso de amparo en el supuesto g) del fundamento jurídico 2 de la STC 155/2009.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9 de marzo de 2015, la Sección Segunda del Tribunal Constitucional tuvo por interpuesto el recurso de súplica del Ministerio Fiscal y, de conformidad con el art. 93.2 LOTC, acordó dar traslado al recurrente por el plazo de tres días para que alegara lo que estimara pertinente. El recurrente, mediante escrito de 18 de marzo de 2015, se adhirió al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2 de febrero de 2015 de la Sección Segunda de este Tribunal, que acordó inadmitir el recurso de amparo núm. 3868-2013 por no apreciar en el mismo la especial trascendencia constitucional que, como condición para la admisión del recurso de amparo, requiere el art. 50.1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fundamenta la especial trascendencia constitucional del recurso en un doble criterio; por un lado, el nuevo marco normativo (Leyes 13/2009, de 3 de noviembre, de reforma de la legislación procesal para la implantación de la oficina judicial, y 4/2013, de 4 de junio, de medidas de flexibilización y fomento del mercado de alquiler de viviendas) sobre el que ha de proyectarse ahora la doctrina constitucional acerca del art. 24.1 CE en relación con los emplazamientos y notificaciones edictales; por otro, la repercusión social y económica que en los últimos tiempos han adquirido las ejecuciones hipotecarias.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resolver otro recurso de súplica planteado en términos similares al actual, el ATC 128/2015, de 20 de julio, FJ 2, señaló: “El Tribunal Constitucional ha dispuesto recientemente de varias ocasiones para fijar doctrina sobre el art. 24.1 CE en relación con problemas de emplazamiento y notificaciones edictales (SSTC 122/2013, de 20 de mayo, 30/2014, de 24 de febrero, 169/2014, de 22 de octubre, y 137/2014, de 8 de septiembre), sin que entreveamos en este caso circunstancias justificativas de una resolución de fondo en razón de su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declaración vale igualmente para este asunto, si bien “es preciso recordar una vez más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(AATC 173/2010, de 17 de noviembre, FJ 2; 29/2011, de 17 de marzo, FJ 2; 46/2011, de 28 de abril, FJ 2; en el mismo sentido, AATC 61/2010, de 31 de mayo, FJ 2; 201/2010, de 21 de diciembre, FJ 2; y 173/2010, de 17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 de febrero de 2015 en el recurso de amparo núm. 3868-2013.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