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20 de junio del 2016, la procuradora de Tribunales doña María Lydia Leiva Cavero, en nombre y representación de don Javier María García López y doña Carmen Allué Camacho y con la asistencia del abogado don José María García-Gallardo Gil-Fournier, interpuso demanda de amparo contra las siguientes resoluciones: i) providencia de la Sala de lo Contencioso-Administrativo del Tribunal Superior de Justicia de Castilla y León (sede en Valladolid), de fecha 9 de mayo de 2016, en cuya virtud se inadmite el incidente de nulidad deducido contra la Sentencia que a continuación se cita; ii) Sentencia de la Sala de lo Contencioso-Administrativo del Tribunal Superior de Justicia antes indicado, de fecha 23 de febrero del 2016, dictada en el recurso de apelación núm. 541-2015; iii) Sentencia del Juzgado de lo Contencioso-Administrativo núm. 2 de Valladolid, de 11 de junio de 2015, dictada en el procedimiento abreviado núm. 69-2015.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suspensión interesada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Orden FYM/473/2013, de 11 de junio, don Javier María García López fue nombrado, mediante el sistema de libre designación, jefe del servicio territorial de Burgos de medio ambiente, de la Consejería de Fomento y Medio Ambiente de la Junta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Dicho nombramiento fue recurrido en vía contencioso-administrativa por un tercero, lo que dio lugar a la incoación del procedimiento abreviado núm. 69-2014, del Juzgado de lo Contencioso-Administrativo núm. 2 de Valladolid. En fecha 11 de junio de 2015 recayó sentencia parcialmente estimatoria del recurso citado, en cuya virtud se acordó la nulidad del referido nombramiento por carecer la resolución que lo acuerda de la motivación necesaria.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demandante en sede judicial interpuso recurso de apelación frente a la resolución antes indicada, que fue estimado por Sentencia de la Sala de lo Contencioso-Administrativo del Tribunal Superior de Justicia de Castilla y León (sede de Valladolid), de fecha 23 de febrero del 2016. Esta Sentencia acordó la revocación del nombramiento de Javier María García López por considerarle incompatible para el puesto por razón de matrimonio, ya que su cónyuge —la demandante de amparo— desempeña un cargo dentro del servicio para cuya jefatura fue nombrado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escrito de fecha 4 de abril del 2016, los recurrentes en amparo interpusieron incidente de nulidad de actuaciones, el cual fue inadmitido por providencia de 9 de mayo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síntesis, en la demanda de amparo se invoca la vulneración del derecho a la tutela judicial efectiva sin indefensión (art. 24.1 CE), i) por no haber notificado al recurrente la Sentencia dictada por el Juzgado de lo Contencioso-Administrativo núm. 2 de Valladolid, ni haberle comunicado tampoco la interposición del recurso de apelación contra dicha Sentencia; ii) por no haber procedido a emplazar a doña Carmen Allué Camacho para que pudiera comparecer en el recurso contencioso-administrativo interpuesto contra el nombramiento de su cónyuge, pese a ostentar un interés legítimo en el asunto; iii) y también por la irrazonable, absurda e ilógica valoración de la prueba documental realizada por la Sentencia dictada en apelación. También se alega la vulneración del derecho de los demandantes a no padecer discriminación por razón de matrimonio en el acceso al cargo público, en relación con el derecho a la tutela judicial efectiva (arts. 14, 23.2 y 24.1 CE); y ello por estimar discriminatoria la revocación del nombramiento del demandante, al declarar a este último incompatible para el puesto por razón de su matrimonio, sin base legal que sustente tal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se solicita la suspensión de la ejecutividad de la Sentencia dictada en apelación por la Sala de lo Contencioso-Administrativo del Tribunal Superior de Justicia de Castilla y León (sede de Valladolid), en fecha 23 de febrero de 2016. En apoyo de lo pedido, los demandantes sostienen que, de ejecutarse esa Sentencia, don Javier García López debería cesar en el puesto para el que fue nombrado y ello le acarrearía un daño moral, en su vertiente familiar, funcionarial y social, que al no ser evaluable debe considerarse irreparable. Finalmente, los demandantes manifiestan estar dispuestos a prestar fianza, si esa medida se estima precisa para asegurar la reparación de los eventuales perjuicios derivados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marzo del 2017, la Sección Tercera de este Tribunal acordó admitir a trámite el recurso de amparo, apreciando que concurre en el mismo una especial trascendencia constitucional (art. 50.1 de la Ley Orgánica del Tribunal Constitucional: LOTC) pues el recurso puede dar ocasión al Tribunal para aclarar o cambiar su doctrina, como consecuencia de un proceso de reflexión interna [(STC 155/2009, FJ 2 b)]. Asimismo, se acordó dirigir atenta comunicación a la Sección Primera de la Sala de lo Contencioso-Administrativo del Tribunal Superior de Justicia de Castilla y León, a fin de que, en plazo que no exceda de diez días, remitan certificación o copia adverada de las actuaciones correspondientes al recurso de apelación núm. 541-2015 y pieza del incidente de nulidad de actuaciones núm. 2-2016. También se resolvió dirigir atenta comunicación al Juzgado de lo Contencioso-Administrativo núm. 2 de Valladolid, a fin de que, en el plazo indicado, remita certificación o fotocopia adverada de las actuaciones correspondientes al procedimiento abreviado núm. 69-2014; con emplazamiento a quienes hubieran sido parte en el procedimiento, excepto a la parte recurrente en amparo, para poder personarse en el plazo de diez días, si lo desean, en el presente recurso. Todo ello condicionado, se advierte al final, a que por la procuradora de los recurrentes se acredite la representación que dice ostentar.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requerimiento se cumplimentó por escrito de la procuradora doña María Lydia Leiva Cavero, de fecha 22 de marzo de 2017, acordándose por diligencia de la Secretaría de Justicia, de 4 de abril del 2017, tener por presentado dicho escrito y acordar el desglose y devolución de las escrituras de poderes originales.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dictada por la Sección Tercera de este Tribunal, de fecha 14 de marzo del 2017, se acordó formar pieza para la tramitación del incidente sobre suspensión y, conforme determina el artículo 56 de la Ley Orgánica de este Tribunal, conceder un plazo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22 de marzo de 2017 la representación procesal de los recurrentes presentó sus alegaciones, en las cuales reitera la petición de suspensión de la ejecución de la Sentencia dictada por el Tribunal de apelación, dados los perjuicios irreparables que se originarían en caso de no acordarse esa medida. Por otro lado, en el escrito aludido se reflejan las siguientes circunstancias acontecidas: i) desde el día 11 de mayo de 2016, doña Carmen Allué Camacho dejó de desempeñar la jefatura de sección antes indicada, al serle concedida una comisión de servicio en otro puesto de trabajo que no depende del servicio territorial de medio ambiente de Burgos; ii) en el trámite de ejecución de sentencia el demandante de amparo cesó, en fecha 20 de julio de 2016, en la jefatura del servicio territorial de medio ambiente de Burgos; iii) tras celebrarse un nueva valoración de los candidatos en su día admitidos al proceso de selección, don Javier María García López volvió a ser nombrado para el mismo puesto de trabajo, por Orden FYM/695/2016, de 27 de julio; y iv) el ejecutante en sede judicial ha promovido un incidente de ejecución de sentencia, registrado con el núm. 40/2016 del Juzgado de lo Contencioso-Administrativo núm. 2, a fin de impugnar el nombramiento último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fecha 3 de abril del 2017 presentó sus alegaciones el Fiscal. Tras sintetizar los fundamentos empleados por los demandantes para justificar la solicitud de suspensión y compendiar la doctrina constitucional respecto del carácter excepcional de la suspensión prevista en el art. 56.2 LOTC, en relación con el caso considera que los recurrentes se limitan a afirmar que los daños que causaría la ejecución no son evaluables y, dada su naturaleza no patrimonial, tampoco deben considerarse reparables. A juicio del Fiscal ese alegato no es más que una aseveración genérica e inconsistente, que no justifica, siquiera prima facie, los perjuicios que la ejecución de la resolución recurrida acarrearía ni, consecuentemente, el carácter irreparable de los mismos. Por todo ello interesa que se desestime la solicitud de suspensión. Para el caso de que se considere procedente acceder a la medida interesada, el Fiscal solicita que, previamente, se acuerde la prestación de fianza en garantía de los daños que pueda ocasionar la suspensión de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de fecha 10 de abril del 2017, la representación procesal de los recurrentes manifiesta que, por Auto del Juzgado de lo Contencioso-Administrativo núm. 2 de Valladolid, de fecha 30 de marzo de 2017, recaído en el incidente de ejecución núm. 40-2016 (cuya copia aporta), el referido órgano judicial anuló el nuevo nombramiento del demandante de amparo; y acordó que este último quede excluido del proceso de selección por razón de incompatibilidad.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la ejecución del acto de los poderes públicos por razón del cual se reclama el amparo constitucional, sólo se suspenderá cuando el mismo hubiera de ocasionar un perjuicio que haría perder al amparo su finalidad; en su segundo inciso recoge una excepción a esta posibilidad de suspensión, al prever que la misma puede denegarse cuando de ella pueda seguirse perturbación grave a un interés constitucionalmente protegido, o a los derechos fundamentales o a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reiterada de este Tribunal,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(por todos, ATC 23/2017, de 13 de febrero, FJ 1). Dicho de otro modo, acorde, pues, con la naturaleza extraordinaria de la jurisdicción de amparo, la suspensión prevista en la Ley Orgánica del Tribunal Constitucional se configura como una medida provisional de carácter excepcional y de aplicación restrictiva (AATC 24/2001, de 17 de septiembre, 117/2015, de 6 de julio, FJ 1, y 1/2016, de 18 de enero, FJ 1, entre otros muchos y 23/2017, de 13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lado, conforme a una consolidada doctrina de este Tribunal que aparece recogida, entre otras resoluciones, en el ATC 364/2008, de 17 de noviembre, FJ 2, “la acreditación del perjuicio es carga del recurrente, quien debe precisar los concretos perjuicios que de la ejecución se deriven, así como justificar o argumentar razonadamente la irreparabilidad de los mismos (AATC 107/1981, 226/1982, 385/1983, y 193/1984). En todo caso, el perjuicio irreparable debe ser real, sin que sea posible alegar un perjuicio futuro o hipotético o un simple temor (AATC 490/1984, 399/1985, y 51/1989, entre otros muchos), y la pérdida de la finalidad del amparo no puede equipararse a la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los recurrentes en amparo se limitan a manifestar, en esencia, que los perjuicios que la ejecución de la Sentencia dictada por el Tribunal de apelación ocasionaría son de índole moral y repercutirían en su ámbito personal, familiar y profesional. Por ello, consideran que tales menoscabos son irreparables pues, dada su naturaleza, no son susceptibles de ser evaluados económicamente. Frente a ese alegato cabe oponer, en sintonía con lo argumentado por el Fiscal, que pese al modo apodíctico en que formulan su pretensión los recurrentes, éstos no consiguen acreditar, conforme a lo establecido por la doctrina constitucional, que los perjuicios derivados de la anulación del nombramiento a que se ha hecho mención son de tal entidad y tan difícil resarcimiento que, de no accederse a la suspensión que se solicita, el recurso de amparo perdería su finalidad para el caso de ser 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acontecidas en sede judicial, que los recurrentes han puesto de manifiesto en los escritos que han presentado en esta pieza separada, no empecen la consideración antes expuesta. En el último de los escritos citados se indica que el demandante de amparo ha sido finalmente cesado en el puesto para el que fue nombrado en dos ocasiones. En sí mismo considerado, ese hecho no es más que una consecuencia asociada a la ejecución de la Sentencia dictada por el Tribunal de apelación, lo cual, si bien constituye un requisito sine qua non de cara a la eventual adopción de la medida cautelar que se nos solicita, no acredita que los perjuicios que se invocan sean irreparables, en el sentido fijado por la doctrina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