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23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1889-2016, promovido por don Martín Francisco Barriuso Alonso, don Enrique Javier Barazón Amat, doña Maitane Arrate Sustatxa y doña Fernanda Pilar Badiola Mazariegos, representados por el Procurador de los Tribunales don Luis Fernando Pozas Osset y asistidos por el abogado don Héctor Brotons Albert, contra: (i) la Sentencia de la Sala Segunda del Tribunal Supremo, de 9 de diciembre de 2015, que estimó parcialmente el recurso de casación interpuesto por el Ministerio Fiscal contra la Sentencia dictada por la Sección Sexta de la Audiencia Provincial de Vizcaya el 27 de marzo de 2015; (ii) así como también contra el Auto de la Sala Segunda del Tribunal Supremo, de 15 de febrero de 2016, que desestimó el incidente de nulidad de actuaciones promovido contra la indicada Sentencia de 9 de diciembre de 2015.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7 de abril del 2016 en el registro general del Tribunal Constitucional, se interpuso por el Procurador de los Tribunales don Luis Fernando Pozas Osset, en nombre y representación de don Martín Francisco Barriuso Alonso, don Enrique Javier Barazón Amat, doña Maitane Arrate Sustatxa y doña Fernanda Pilar Badiola Mazariegos, asistidos por el Letrado don Héctor Brotons Albert, recurso de amparo contra la Sentencia de la Sala Segunda del Tribunal Supremo de 9 de diciembre de 2015 que estimó parcialmente el recurso de casación interpuesto por el Ministerio Fiscal contra la Sentencia de la Sección Sexta de la Audiencia Provincial de Vizcaya de 27 de marzo de 2015, y contra el Auto de la Sala Segunda del Tribunal Supremo de 15 de febrero de 2016 que desestimó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Juzgado de Instrucción núm. 6 de Bilbao se incoó el procedimiento abreviado núm. 2477-2012 contra los demandantes de amparo formulándose escrito de acusación por el Ministerio Fiscal contra don Martín Francisco Barriuso Alonso, don Igor Gaminde Garrido y doña Maitane Arrate Sustatxa como autores de un delito contra la salud pública en su modalidad de tráfico de sustancias estupefacientes que no causan grave daño a la salud en cantidad de notoria importancia, en concurso real con un delito de integración en grupo criminal o alternativamente de un delito de asociación ilícita, y contra don Enrique Javier Barazón Amat y doña Pilar Fernanda Badiola Mazariegos como autores de un delito contra la salud pública en su modalidad de tráfico de sustancias estupefacientes que no causan grave daño a la salud. Por su parte las defensas solicitaron su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fueron absueltos por la Sección Sexta de la Audiencia Provincial de Vizcaya de los delitos de los que habían sido acusados. La Sentencia declaró probado que el 22 de febrero de 2003 don Martín Francisco Barriuso Alonso, doña Maitane Arrate Sustatxa “y tres personas más” constituyeron la Asociación de Usuarios/as de Cannabis Pannagh, que fue inscrita en el registro general de asociaciones del País Vasco en virtud de resolución de 20 de junio de 2003 del director de estudios y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declaraba que los fines estatutarios de la asociación eran el estudio sobre el cáñamo y sus posibles aplicaciones culturales, científicas y terapéuticas, evitar el peligro para la salud de sus usuarios inherente al mercado ilegal de cannabis, promover el debate social sobre su situación legal y la de sus consumidores y hacer valer los derechos constitucionales de estos. Para ser socio era necesario solicitarlo por escrito, ser avalado por un miembro de la asociación, ser mayor de edad y gozar de plena capacidad de obrar, compartir los fines y objetivos de la asociación y ser consumidor de cannabis o haber sido diagnosticado de alguna enfermedad para la que el uso terapéutico o paliativo de los cannabinoides hubiera sido probada científicamente, correspondiendo a la junta directiva resolver sobre la admisión o inadmisión. Con la finalidad de evitar los riesgos del mercado ilegal se estableció y aceptó por los socios la actividad de cultivo en la que para participar era imprescindible haber adquirido la condición de socio, los gastos de la actividad se sostenían de forma proporcional a la participación en ella, cada socio participaba en función de la previsión de consumo que él mismo determinaba para cada período semestral de cultivo, el cultivo solo alcanzaba a cubrir el conjunto de las previsiones que los socios habían realizado para el período, el total de cada período de cultivo se dividía entre el total de socios participantes, el cuidado del cultivo se llevaba a cabo por socios colaboradores “y en orden a excluir cualquier posibilidad distinta del autoconsumo privado la participación de cada socio no podía exceder de la correspondiente a 2 gramos por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mes de noviembre de 2011 la policía municipal de Bilbao inició una investigación que, tras la práctica de vigilancias y seguimientos, llevó el día 14 de noviembre de 2011 a la práctica de una entrada y registro en la sede de la asociación sita en Bilbao, y el día 15 de noviembre de 2011 a la entrada y registro en un trastero sito en Galdakao y en una finca rústica sita en Zamudio que tenía alquilados la asociación. En estos registros se incautaron diversas cantidades de cannabis (marihuana) —entre ellas destacan cinco cajas con 10.035 gramos, diecisiete cajas con 22.253,60 gramos, dieciséis tabletas con 800 gramos, así como un saco de papel con 767,40 gramos hallados en la sede social, doce bolsas con 21.456,8 gramos y una bolsa con 156,60 gramos hallados en la finca rústica de Zamudio, y once cajas con múltiples bolsas con 23.724,10 gramos halladas en el trastero de Galdakao— así como dinero y documentación relacionada con la actividad asociativa.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también decía que “[l]os socios de la Asociación de Usuarios/as de Cannabis Pannagh eran consumidores de cannabis y, tras la constitución de la Asociación, para hacerse socios habían presentado una solicitud por escrito, fueron avalados por una persona ya socia de Pannagh y aceptaron cumplir los Estatutos de la Asociación y las normas de régimen interno, observar los fines sociales y respetar las decisiones de sus órganos y fueron admitidos cuando con el cultivo de la sustancia se podía atender sus previsiones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cantidad de sustancias estupefacientes intervenida procedía del cultivo compartido realizado conforme a las previsiones de consumo de los socios consumidores de marihuana participantes que estaban debidamente identificados y estaba destinada al consumo de dichos socios conforme a los fines y reglas de asociación y el acuerdo de los socios. En el momento de la intervención policial la asociación contaba con más de trescientos socios debidamente identificados que obtenían el cannabis que consumían en el modo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Terminaba con este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los acusados constituyeran una asociación con apariencia de legalidad para, bajo la cobertura formal de una asociación sin ánimo de lucro inscrita, cultivar cannabis, preparar y distribuir la sustancia estupefaciente obtenida a terceras personas a cambio de dinero, ni que para encubrir la entrega de la sustancia a estas personas se les realizara un carné de socio en el momento de la entrega de la sustancia. No ha quedado acreditado que los acusados hubieran entregado marihuana o hachís a personas que previamente no hubieran sido socios de la Asociación de Usuarios/as de Cannabis Pannagh. No ha quedado acreditado que las cantidades obtenidas con el pago por los socios de las cuotas anuales y al retirar la sustancia estupefaciente tuvieran otro destino que el de sufragar los gastos propios de la asociación y los relativos al cultivo, recolección y conservación de la sustancia estupefaciente para entregarla a los socios para su autoconsumo según lo acordado. No consta que los acusados tuvieran la intención de que la sustancia estupefaciente fuera difundida entre quienes no fueran socios ni que consintieran o aceptaran que los socios destinaran la sustancia estupefaciente a destino distinto de su propio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Vizcaya entendió que los asociados —unos 320 en el momento de la intervención policial— eran consumidores habituales de cannabis, identificados y determinados, que, ajustándose a las reglas estatutarias que regían el funcionamiento de la asociación, realizaban actos de cultivo compartido con el único propósito de asegurarse el suministro de marihuana necesario para su autoconsumo, sin ninguna finalidad de tráfico, estableciendo controles y medidas de seguridad para evitar la difusión de la sustancia a terceros, por lo que consideró que los hechos no eran susceptibles de ser calificados como delito contra la salud pública en los términos esgrimidos por la acusación, dado que esta actividad de autocultivo, que vendría a ser una forma de autoconsumo, no promovía, favorecía o facilitaba el consumo de la marihuana más allá del círculo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desenvolvimiento de este argumento la Sala remitía a los criterios que había seguido en su Sentencia de 16 de junio de 2014, de sentido igualmente absolutorio en la que se dirimía la acusación contra varios miembros de otra asociación cannábica.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previa preparación, interpuso el 28 de abril de 2015 recurso de casación en el que alegó como único motivo, al amparo del artículo 849.1 de la Ley de enjuiciamiento criminal (LECrim), el de infracción de ley por indebida inaplicación de los artículos 368 y 369.1.5 del Código penal: CP (delito contra la salud pública), y por indebida inaplicación de los artículos 515.1 y 517.1 y 2 CP (delito de asociación ilícita) o, alternativamente, del artículo 570 ter 1 CP en relación con el artículo 570 quater 1 CP (delito de integración en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5 de mayo de 2015 se tuvo por formalizado el recurso y de dio traslado del mismo a la representación procesal de los ahora demandantes de amparo, quienes en sendos escritos registrados el 19 y 20 de mayo de 2015 se instruyeron del recurso y lo impugnaron, manifestando al amparo del artículo 893 bis a) LECrim que no conceptuaban necesaria la celebración de vista. Alegaron que el Ministerio Fiscal no respetaba en su recurso el relato de hechos probados de la Sentencia de instancia, que era intangible, y en el que se descartaba que en los demandantes existiera el ánimo tendencial dirigido al tráfico de sustancias estupefacientes exigido por el tipo penal, ni un riesgo de difusión a terceros ajenos a la asociación, pues el cultivo se organizaba en función de las previsiones de consumo de los socios en periodos semestrales, siendo todos los socios consumidores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providencia de 10 de septiembre de 2015 se admitió el recurso de casación señalando fecha para su deliberación y decisión. Por providencia de 23 de septiembre de 2015 se suspendió el señalamiento para deliberación y se otorgó, al amparo del artículo 897.2 de la Ley de enjuiciamiento criminal, un plazo de ocho días al Ministerio Fiscal y a las partes para que informasen sobre la posibilidad de aplicación del artículo 14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Ministerio Fiscal emitió informe en fecha 29 de septiembre de 2015 en el que, tras distinguir las características del error de tipo y del error de prohibición en su modalidad directa e indirecta, aduce que en el plano procesal el error debe ser probado por la parte que lo alega y que no puede ser invocado en aquellas infracciones que sean de ilicitud notoriamente evidente. El error no aparece reflejado en el relato de hechos probados, en los que no se describe ninguna situación de desconocimiento o conocimiento equivocado de la realidad, ni resulta admisible por ser doctrina consolidada del Tribunal Supremo que en los delitos de tráfico de drogas no cabe el error de prohibición por ser hecho notorio para cualquier persona de cultura y conocimientos normales que se trata de una conducta punible. Añade que un error sobre el posible encuadramiento de los hechos en el ámbito del consumo compartido definido en la jurisprudencia del Tribunal Supremo constituiría un error de tipo, excluyente del carácter “ilegal” del consumo, pero que este error no ha sido ni alegado ni probado. Afirma que dicho error no concurre en quienes han constituido una asociación ilícita y han realizado labores de gestión y administración, además del cultivo, preparación y envasado de la sustancia estupefaciente. Cita y se atiene al criterio sentado en la instrucción de la Fiscalía General del Estado núm. 2-2013, sobre “algunas cuestiones relativas a las asociaciones promotoras del consumo de cannabis”. En el presente caso se han entregado cantidades de cannabis de hasta 360 gramos semestrales sin un verdadero control de que los socios receptores fueran realmente adictos o consumidores habituales, o enfermos con autorización sanitaria para su tratamiento, por lo que existió un riesgo claro para el bien jurídico protegido, la salud pública colectiva. El consumo no se desarrolló en lugar cerrado, porque los socios podían llevarse la sustancia para consumirla en cualquier lugar distinto del local de la asociación, tampoco el consumo era inmediato a su recepción por el socio, quien podía entregarla a quien quisiera, y tampoco nos encontrábamos ante un pequeño núcleo de drogodependientes sino ante un elevado número de socios, integrado por más de 320 personas, con unos estatutos asociativos que no establecían límite alguno de admisión de socios; tampoco estamos ante una cantidad de droga mínima o insignificante, pues la asociación precisaba de 115.200 gramos al semestre para atender a la demanda potencial de sus 320 socios, lo cual significa unos acopios semestrales de hasta diez veces la cantidad fijada por el Tribunal Supremo para aplicar la figura agravada de la notoria importancia para el caso de la marihuana. Recuerda que la Ley 17/1967, de 18 de abril, impide el cultivo de cannabis sin autorización administrativa aunque sea para consumo privado y que el uso de estupefacientes está sujeto a un régimen de control oficial que actualmente corresponde a la Agencia española de medicamentos. Concluye de lo anterior que no es admisible la tesis del error de tipo y que si bien existen algunos pronunciamientos absolutorios de Audiencias Provinciales, encontramos otros de signo condenatorio por lo que no se puede hablar de un contexto cultural de admisión de este tipo de comportamientos. Termina señalando que el error de tipo tampoco afectaría al delito de asociación ilícita o de integración en grupo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Letrada de doña Pilar Fernanda Badiola Mazariegos presentó escrito el día 1 de octubre de 2015 en el que postuló la aplicación de un error invencible de prohibición porque actuó convencida de que su conducta era lícita y estaba amparada en la Ley al incorporarse a una asociación, Pannagh, que ya llevaba inscrita en el registro de asociaciones del Gobierno Vasco desde siete años antes de su incorporación personal, y que pasó a prestar servicios a la misma en virtud de un contrato de trabajo reglado, con alta y cotización a la Seguridad Social, y todas las garantías y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los restantes demandantes de amparo presentó escrito el día 5 de octubre de 2015 en el que alegó en primer lugar que no sería posible revisar la Sentencia absolutoria dictada en instancia, modificando su relato de hechos probados, sin dar previa audiencia a los acusados, de acuerdo con la doctrina del Tribunal Europeo de Derechos Humanos, del Tribunal Constitucional y del propio Tribunal Supremo. Sobre la cuestión de fondo alegó que en todo momento obraron con la conciencia de que formaban parte de una asociación legal y por lo tanto de que su actividad era igualmente legal, lo cual se deduce del propio relato de hechos probados de la Sentencia de instancia, por lo que les sería aplicable, en su caso, el error invencible de prohibición. Adujo que este error aflora de las pruebas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de casación fue estimado parcialmente en la Sentencia del Tribunal Supremo núm. 788/2015, de 9 de diciembre. En lo que interesa al presente recurso de amparo, importa destacar que en su primer fundamento de Derecho, aplicando al caso los criterios decisorios sentados en anterior Sentencia del Pleno de la Sala Penal del Tribunal Supremo núm. 484/2015, de 7 de septiembre, afirma que la ausencia de lucro no excluye el carácter punible de la conducta cuando se pone en riesgo el bien jurídico protegido al facilitar el consumo de la sustancia estupefaciente por terceros, que el debate social y político sobre el grado de prohibición o tolerancia de las sustancias estupefacientes corresponde a otros poderes del Estado, no a los tribunales, sin perder de vista la política criminal supranacional, y que el marco aplicable al presente caso es el interno constituido por el artículo 368 CP y la regulación administrativa nacional sobre control de sustancias estupefacientes, así como la normativa internacional de la que hace expresa cita (Convención de Naciones Unidas de 1961, Convención de Viena de 1988) que obligan a los Estados parte a perseguir como delitos las conductas de cultivo, producción, venta y difusión de sustancias estupefacientes, entre las que se incluye el cannabis como sustancia a combatir, citando seguidamente la normativa de la Unión Europea que establece las disposiciones mínimas de los elementos constitutivos de los delitos y penas aplicables en el ámbito del tráfico ilícito de drogas (Decisión Marco 2004/757/JAI del Consejo de 25 de octubre de 2004) en la que igualmente se incluye como objeto de persecución penal las conductas atinentes a la planta del cannabis, con la sola exclusión del consumo personal. En relación con el artículo 368 del Código penal el Tribunal Supremo afirma que el consumo ilegal es su concepto de referencia, que aunque no está incluido en la conducta punible, es lo que se pretende evitar castigando toda acción encaminada a promoverlo, favorecerlo o facilitarlo, actos entre los que se incluyen el cultivo, la elaboración o el tráfico, y que consumo ilegal es toda utilización o ingesta de la droga por cualquier vía orgánica que no sea aquella que esté expresamente autorizada por tener finalidad terapéutica o positiva para la salud. Afirma que la asociación presenta una estructura que la hace incapaz de controlar el riesgo de difusión de la droga a terceros y que por ello sus creadores y organizadores son responsables de crear una fuente de riesgos para el bien jurídico protegido, añadiendo que la doctrina jurisprudencial que admite la ausencia de tipicidad del consumo compartido no es aplicable a este tipo de asociaciones por no cumplir sus requisitos, particularmente los que exigen que el consumo se produzca en lugar cerrado, entre un grupo reducido de adictos y en cantidades pequeñas de droga que sean adecuadas para su consumo en una sola sesión o encuentro. Considera, en consecuencia, que procede estimar el motivo único del recurso de casación del Fiscal, estimando que los hechos son subsumibles en el tipo penal del artículo 368 CP y aplicando en segunda Sentencia las penas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de los demandantes de amparo de que no podría revisarse la Sentencia absolutoria sin darles previa audiencia, el Tribunal Supremo responde en el fundamento de Derecho tercero que la misma no era precisa en este caso por ser objeto del recurso de casación una cuestión de estricta subsunción jurídica de los hechos probados en el delito del artículo 368 CP, supuesto en el que la doctrina del Tribunal Constitucional no exige la celebración de vista oral ni la práctica de prueba en segunda instancia con cumplimiento de los principios de publicidad, inmediación y contradicción para que se entienda respetado el derecho a un proceso con todas las garantías del artículo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continuación se dicta segunda Sentencia de casación en la que se declara que los hechos probados son constitutivos de un delito contra la salud pública de los artículos 368 y 369.5 del Código penal, en la modalidad de tráfico de sustancias que no causan grave daño a la salud, en cantidad de notoria importancia, respecto de los acusados don Francisco Barriuso Alonso y doña Maitane Arrate Sustatxa, aplicando a los acusados doña Pilar Fernanda Badiola Mazariegos y don Enrique Javier Barazón Amat el tipo especial atenuado por la escasa entidad del hecho del artículo 368.2 del Código penal y absolviendo al otro acusado, don Igor Gaminde Rodrigo, por falta de concreción en los hechos probados de su intervención en los mismos. La Sala considera que el error de los demandantes sobre el ámbito y alcance de la prohibición contenida en el artículo 368 CP constituye una inferencia de la Sentencia de instancia, que sin afirmarla expresamente, “transita por la narración fáctica y la fundamentación jurídica de manera implícita”, inferencia admisible por ser beneficiosa para los acusados y que pese a no haber sido alegada por las defensas, no puede ser obviada por representar una minoración de la responsabilidad penal. La Sala entiende que el error sería de prohibición, no de tipo, y que resultaría vencible, pues a los acusados les era exigible una mayor cautela y un esfuerzo más sincero de indagación de la legalidad de su conducta, entendiendo que sopesaron y se representaron su posible antijuricidad por las citas de resoluciones judiciales que efectuaron y por la falta de transparencia en la redacción de los estatutos de la asociación, en los que ocultaron que su objeto era la producción y distribución de cannabis entre sus asociados. Considera la Sala que los hechos probados y la fundamentación jurídica de la Sentencia de instancia “proporcionan base suficiente para considerar probable una creencia equivocada; pero ninguna para tildarla de inevitable”. El error de prohibición evitable comporta una culpabilidad disminuida que se traduce en una atenuación penológica, en este caso mediante la rebaja en un grado de la pena prevista para el delito, conforme a lo establecido en el artículo 14.3 del Código penal, de lo que se sigue la imposición a los acusados don Martín Francisco Barriuso Alonso, y doña Maitane Arrate Sustatxa la pena de un año y ocho meses de prisión y multa de 250.000 euros con responsabilidad personal subsidiaria de 20 días en caso de impago, y a los acusados doña Pilar Fernanda Badiola Mazariegos y don Enrique Javier Barazón Amat, a los que aplica la figura atenuada del artículo 368.2 del Código penal, la pena de seis meses menos un día de prisión sin imposición de pena de multa por no existir constancia de la cantidad de droga que habían llegado a manipular, manteniendo la absolución del acusado don Igor Gaminde Rodrigo porque en el relato de hechos probados de la Sentencia de la Audiencia Provincial ni siquiera se le nombraba, no siendo posible alterar dicho relato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15 de febrero de 2016 la Sala Penal del Tribunal Supremo desestimó el incidente de nulidad de actuaciones promovido al amparo del artículo 241.1 de la Ley Orgánica del Poder Judicial por la representación procesal de los demandantes, en el que invocaron la vulneración de los derechos fundamentales a la libertad personal (art. 17.1 CE), a la tutela judicial efectiva (art. 24.1 CE), a un proceso con todas las garantías y al juez ordinario predeterminado por la Ley (art. 24.2 CE), a un proceso justo (art. 6.1 del Convenio europeo de derechos humanos: CEDH), a la doble instancia (art. 14.5 del Pacto internacional de derechos civiles y políticos), a la presunción de inocencia (art. 24.2 CE), a la legalidad penal (art. 25.1 CE), violación del principio de igualdad ante la ley (art. 14 CE) y por no garantizar la interdicción de la arbitrariedad (art. 9.3 CE) y violación del derecho a la autonomía y dignidad personales y al desarrollo de la personalidad (art. 10 CE en relación con los arts. 18 CE y 8 CEDH). La Sala afirma que la parte promotora del incidente no está denunciando propiamente vicios de nulidad, sino reiterando alguno de los motivos en los que ya fundó su recurso de casación y que la Sentencia cuya nulidad se pretende ya trató todas las cuestiones afectantes a la legalidad penal, a la tipicidad de la conducta, y a la aplicación del error de prohibición o de tipo, vencible o invencible, así como las razones por las que se aplicó el párrafo segundo del artículo 368 del Código penal a unos acusados y no a otros. En relación con la inmediación y el derecho de defensa, también se consideró en la Sentencia la posibilidad de modificar en casación un pronunciamiento absolutorio de la instancia sin necesidad de audiencia de los afectados cuando la pretensión de revisión se ciñe estrictamente a cuestiones jurídicas. Y en relación con el proceso justo, no se ha alterado el hecho probado porque el último apartado del relato fáctico era prescindible al recoger hechos no probados y no hechos acreditados. El derecho de defensa quedó garantizado cuando se les concedió audiencia conforme al artículo 897.2 de la Ley de enjuiciamiento criminal para que manifestaran lo que estimaran conveniente sobre la eventual aplicación del artículo 14 del Código penal. Rechaza asimismo que se haya producido vulneración del derecho a la presunción de inocencia porque no existió inversión de la carga de la prueba, teniendo que probar los acusados que no controlaban el destino del cannabis, sino afirmación de que el supuesto reflejado en los hechos probados no entra en el supuesto atípico excepcional, según los parámetros jurisprudenciales, del “consumo compartido”, sino del “cultivo colectivo” con el resultado constatado en relación con los 320 socios de la asociación Pannagh.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afirman en su demanda de amparo que las resoluciones del Tribunal Supremo han vulnerado su derecho a un proceso con todas las garantías (art. 24.2 CE) por valorarse en casación pruebas personales sin garantía de inmediación al no haberse celebrado vista oral, en conexión con vulneración del derecho a la presunción de inocencia (art. 24.2 CE) al declararse probados hechos de cuya existencia hay dudas razonables. El Tribunal Supremo modificó el relato de hechos probados sin oír a ninguno de los condenados ni a los testigos que depusieron en el acto de juicio oral, alcanzando conclusiones fácticas de índole incriminatoria que un tribunal no debe formular sin establecer una previa interacción con las fuentes de la prueba. Consideran que tal proceder va en contra de la doctrina constitucional y del Tribunal Europeo de Derechos Humanos y citan varios precedentes. Manifiestan que la Sentencia condenatoria modificó los siguientes hechos base fijados en la Sentencia de instancia: (i) que todos los socios eran consumidores de cannabis; (ii) que no existió peligro de difusión a terceros; (iii) que una parte relevante de los socios eran consumidores terapéuticos de cannabis; (iv) que la cantidad de cannabis que recibía cada socio no excedía el marco del autoconsumo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sustentar el Tribunal Supremo la condena sobre una revisión de tales conclusiones sin previa celebración de vista oral, ha vulnerado la garantía de la inmediación judicial. Afirman que se vulnera, igualmente, el derecho a la presunción de inocencia (art. 24.2 CE) porque los datos incorporados no son concluyentes.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demandantes denuncian la vulneración de su derecho de defensa (art. 24.2 CE) porque no fueron oídos por el Tribunal que les condenó. Citan las SSTC 184/2009 y 157/2013, de las que infiere la doctrina de que nadie puede ser condenado en segunda instancia sin haber sido oído, pues el distinto enjuiciamiento sobre hechos subjetivos sin haber dado audiencia al acusado conlleva la vulneración del derecho de defensa y del derecho a un proceso con todas las garantías. Citan asimismo las SSTC 142/2011, 201/2012 y 88/2013, en relación con la constatación en segunda instancia de los elementos subjetivos del delito y la necesidad de audiencia del acusado antes de pronunciarse sobre los mismos. Recuerdan que el juicio sobre la concurrencia de los elementos subjetivos del delito forma parte, a estos efectos, de la vertiente fáctica del juicio. Afirman que la condena impugnada se sustenta en nuevos hechos subjetivos —si el error era de tipo o de prohibición vencible— de los que los acusados discrepan. También dicen que se han valorado pruebas personales —interrogatorios de los acusados, testificales— sin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la vulneración del derecho a la tutela judicial efectiva y a un proceso con todas las garantías (art. 24.1 y 2 CE, en relación con el derecho a un proceso justo del art. 6.1 CEDH) y a la igualdad ante la ley (art. 14 CE). Consideran que en relación con don Enrique Javier Barazón Amat se dan las mismas circunstancias de indeterminación de su participación en los hechos que concurrían en don Igor Gaminde Garrido, que resultó absuelto, por lo que aquél debió haber sido igualmente absuelto, tal y como se solicitó en el incidente de nulidad de actuaciones, sin que se haya obtenido respuesta del Tribunal Supremo sobre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luego la vulneración del derecho a la tutela judicial efectiva sin sufrir indefensión (art. 24.1 CE en relación con el art. 120 CE) por falta de motivación del Auto de 15 de febrero de 2016 que resolvió el incidente de nulidad de actuaciones, que ha incurrido en incongruencia omisiva al no resolver la totalidad de las cuestiones planteadas. Afirman que no se ha dado respuesta argumentada a ninguno de los cinco motivos de lesión del derecho a la legalidad penal planteados en el incidente, ni a los de lesión del derecho a un proceso con todas las garantías. Tampoco se dio respuesta a las peticiones de los otrosíes.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Reprochan seguidamente la vulneración del derecho a la legalidad penal (art. 25.1 CE) por aplicación de un precepto penal indeterminado, como es el artículo 368 CP. Se afirma que el juez debe restringir la aplicación del precepto indeterminado a supuestos ciertos y seguros, pues de lo contrario la aplicación deviene imprevisible para el ciudadano. No está claro que el legislador hubiera querido castigar la conducta realizada por los demandantes de amparo, la condena no se deduce del tenor del precepto sino que es fruto de una interpretación extensiva del mismo derivada de la imprecisión de los términos empleados, promover, favorecer o facilitar el consumo ilegal de drogas. Se han producido fallos opuestos en supuestos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seguidamente la vulneración del derecho a la presunción de inocencia (art. 24.2 CE) en relación con el derecho a la legalidad penal (art. 25.1 CE), en relación con el elemento objetivo del tipo del artículo 368 CP, al considerar la Sentencia condenatoria, mediante una subsunción irrazonable, que nos encontramos ante la cantidad de 78.570 gramos de marihuana y 800 gramos de hachís, y consecuentemente con un valor económico determinado. Consideran que no se puede determinar con precisión con qué cantidad de sustancia nos encontramos, por lo que no se podría aplicar el subtipo agravado de notoria importancia del artículo 369.5 CP. También la multa impuesta se basa en una determinación irracional del valor de la droga.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afirman que se ha producido la vulneración del derecho a la legalidad penal (art. 25.1 CE) por subsunción irrazonable de los hechos probados por no contener la sentencia el objeto material del delito, en cuanto al concepto de droga tóxica, sustancia psicotrópica o estupefaciente dentro del artículo 368 CP. En las resoluciones impugnadas no se ha señalado ni la existencia de Tetrahidrocannabinol ni su porcentaje, siendo dichos datos fundamentales para determinar si nos encontramos ante una sustancia estupefaciente, ni su efecto psicotrópico.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la vulneración del derecho a la legalidad penal (art. 25.1 CE) por entender que se ha verificado una aplicación retroactiva de una nueva interpretación del artículo 368 CP. Aducen que el Tribunal Europeo de Derechos Humanos —citan en concreto el asunto Inés del Río Prada, STEDH de 21 de octubre de 2013— integra en el principio de legalidad penal la interpretación jurisprudencial de las normas. La Sentencia del Tribunal Supremo impugnada fija una doctrina penal nueva que no debería ser aplicada a hechos ocurridos con anterioridad a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denuncian la vulneración del derecho a la legalidad penal (art. 25.1 CE) por subsunción irrazonable de los hechos probados con infracción del principio de proporcionalidad, al interpretar el artículo 368 CP de forma no acorde con la Constitución, con la Declaración universal de derechos humanos y los tratados y acuerdos internacionales que se relacionan con los derechos fundamentales y libertades públicas reconocidas en la Constitución (art. 10.2 CE). Consideran que hay que analizar el supuesto concreto desde un juicio de proporcionalidad, analizando la realidad social del momento y los datos sociológicos y científicos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asimismo que se ha vulnerado el principio de proporcionalidad en el tratamiento de la libertad (art. 17.1 CE) y el derecho a la legalidad penal (art. 25.1 CE) por subsunción irrazonable, por desproporción de los hechos probados en el artículo 368 CP. Consideran que la sanción penal aplicada, de prisión y multa,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nuevamente la vulneración del derecho a la legalidad penal (art. 25.1 CE) en relación con el subtipo atenuado del artículo 368.2 CP por no haber sido aplicado a dos de los condenados, así como por aplicación injustificada del error vencible de prohibición, en vez del error invencible o el error de tipo, en relación con el derecho a la tutela judicial efectiva y a no sufrir indefensión (art. 24.1 CE) por falta de motivación de la resolución judicial (art. 120 CE). El error de prohibición no fue planteado por el Tribunal a quo, ni tampoco por la defensa o el Fiscal, lo suscitó el Tribunal Supremo al dar traslado a las partes para que se pronunciaran sobre la aplicabilidad del artículo 14 CP mediante providencia de 23 de septiembre de 2015. La defensa argumentó a favor del error de prohibición invencible, el TS en respuesta a este planteamiento se limitó a reproducir los razonamientos jurídicos de la Sentencia del Pleno núm. 484/2015 sin hacer ninguna mención a los expuestos en el escrito de alegaciones de la parte. El presente caso presenta particularidades diferentes respecto del resuelto en la Sentencia del Pleno, pues en aquél no existían informes de autoridades públicas, como el Ararteko, que avalaban la trayectoria pública de los acusados en el desarrollo de actividades y participación en la puesta en marcha de iniciativas legislativas, ni tampoco existían resoluciones judiciales que decretaban el sobreseimiento libre de actuaciones penales, incluso con devolución del cannabis incautado. Este aval jurisdiccional constituye en elemento de obligado pronunciamiento cuando se trata de determinar la conciencia sobre la licitud de la actuación de los acusados y demandaba un pronunciamiento expreso e individualizado que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Reprochan la vulneración del derecho a la legalidad penal (art. 25.1 CE), del principio de culpabilidad y del principio de seguridad jurídica (art. 9.3 CE) por subsunción irrazonable de los hechos probados calificados como error de prohibición y no de tipo (art. 14 CP) o subsidiariamente como error de prohibición invencible en lugar de error vencible (art. 14 CP). Aducen que es preciso valorar si el juicio de inferencia realizado por el Tribunal ad quem en esta materia se corresponde con estándares aceptables constitucionalmente. La demanda defiende que la calificación jurídica correcta era la de error de tipo, no de prohibición; subsidiariamente invoca el carácter invencible, y no vencible, que habría tenido en su caso el error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afirman que se ha vulnerado su derecho a la presunción de inocencia y a un proceso con todas las garantías (art. 24.2 CE) por no existir prueba suficiente sobre el elemento subjetivo del injusto en relación con el principio de culpabilidad y el derecho a la legalidad penal (art. 25.1 CE) sobre la vencibilidad del error (art. 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denuncian la vulneración del derecho de defensa y a un proceso con todas las garantías (art. 24.2 CE) por falta de una instancia penal posterior a la condena. Afirman que al no acordarse por el Tribunal Supremo el reenvío de la causa al Tribunal a quo no se ha podido debatir sobre la prueba de los datos subjetivos que sustentan la vencibilidad del error, ni sobre la ausencia de dolo, la aplicación del subtipo atenuado del artículo 368.2 CP, y otras cuestiones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primero de la demanda solicitan la suspensión de la ejecución de la Sentencia al amparo del artículo 56 de la Ley Orgánica del Tribunal Constitucional (LOTC) y en el otrosí segundo solicitan el planteamiento de una cuestión prejudicial ante el Tribunal de Justicia de la Unión Europea en relación con la interpretación que se ha de dar al artículo 2 de la Decisión Marco 2004/757/JAI del Consejo de 25 de octubre de 2004, y el posible encuadramiento de los hechos probados en la cláusula de exclusión prevista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2016 la Sala Segunda de este Tribunal acordó la admisión a trámite del recurso de amparo, apreciando que concurre en el mismo una especial trascendencia constitucional “porque el recurso puede dar ocasión al Tribunal para aclarar o cambiar su doctrina, como consecuencia de un proceso de reflexión interna” y porque asimismo “el asunto suscitado trasciende del caso concreto porque plantea una cuestión jurídica de relevante y general repercusión social o económica”, y en aplicación de lo previsto en el artículo 51 de la Ley Orgánica del Tribunal Constitucional, dirigir atenta comunicación a la Sala Penal del Tribunal Supremo y a la Sección Sexta de la Audiencia Provincial de Vizcaya, a fin de que en el plazo de diez días remitieran certificación o fotocopia adverada de las actuaciones correspondientes a la ejecutoria núm. 2-2016, así como el rollo penal abreviado núm. 41-2014, dimanante de las diligencias previas núm. 2477-2016 del Juzgado de Instrucción núm. 6 de Bilbao, interesándose al mismo tiempo que se emplazase a quienes hubieran sido parte en el procedimiento, exceptuando la parte recurrente en amparo, para que pudieran comparecer en este proceso constitucional, si lo estimaran pertinente, en el plazo de diez días. Al mismo tiempo se acordó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diciembre de 2016 se concedió un plazo común de tres días a la parte recurrente y al Ministerio Fiscal para que formularan alegaciones sobre la suspensión. Evacuado dicho trámite, la Sala Segunda acordó por Auto de 27 de febrero de 2017 la suspensión única y exclusivamente de las penas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Segunda, mediante diligencia de ordenación de su Secretaria de Justicia de 14 de febrero de 2017, acordó dar vista de las actuaciones a la parte recurrente y al Ministerio Fiscal por un plazo común de veinte días para que formularan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evacuó el trámite de alegaciones mediante escrito registrado en este Tribunal el día 16 de marzo de 2017 que abunda en las lesiones denunciadas en el escrito de interposición de la demanda de amparo, complementando su argumentación con la cita de nuevos pronunciamientos jurisdiccionales entre los que destacan la STEDH de 29 de marzo de 2016, asunto Gómez Olmeda contra España, que enfatiza a necesidad de la audiencia personal del acusado desde la perspectiva de su derecho de defensa cuando es el Tribunal de segunda instancia el primero que va a dictar condena, así como las Sentencias de la Sala Penal del Tribunal Supremo núm. 563/2016, de 27 de junio, en relación con la asociación “Maria Gracia” de Barcelona, 698/2016, de 7 de septiembre, relativa a la asociación cultural “Línea Verde BCN” y 571/2016, de 29 de junio, en el caso de la asociación “Datura”, que tratan del error de prohibición en el ámbito de las asociaciones cannábicas.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día 25 de abril de 2017, interesando el otorgamiento parcial del amparo impetrado mediante la declaración de vulneración del derecho fundamental de los demandantes a la defensa (art. 24.2 CE) por infracción de la garantía de audiencia personal en segunda instancia, entendiendo que procedía restablecerles en su derecho mediante la declaración de nulidad de la segunda Sentencia casacional y del Auto posterior, con retroacción de actuaciones para ofrecer a los recurrentes la oportunidad de ser oídos.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tras sintetizar el desarrollo argumental de los quince motivos de amparo planteados en el recurso, los agrupa sistemáticamente distinguiendo los de índole procesal, que trata en primer lugar, de los de índole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plano procesal comienza analizando las diversas cuestiones que aparecen imbricadas en los dos primeros motivos del recurso de amparo, suscitadas a raíz de la condena en casación de los recurrentes, en los que se denuncia la vulneración de su derecho a un proceso con todas las garantías, y en su seno, de la específica garantía de la inmediación probatoria por nueva valoración de pruebas de naturaleza personal, en conexión con la denuncia de vulneración del derecho a la presunción de inocencia por ausencia de prueba de la culpabilidad, y de vulneración del derecho de defensa por dictarse condena sin haber oído personalmente a los acusados, terminando con la invocación de la vulneración de su derecho a la doble instancia penal por ausencia de recurso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secunda el orden metodológico observado en el recurso de amparo de tratar por separado la garantía procesal de inmediación probatoria (motivo primero) y el derecho de defensa de los acusados, en su vertiente de oportunidad de ser oídos antes de ser condenados (motivo segundo), por tratarse de cuestiones que aunque están estrechamente emparentadas, aparecen conceptualmente diferenciadas en los casos de condena en segunda instancia tratados en la doctrina del Tribunal Europeo de Derechos Humanos y en algunos pronunciamientos de este Tribunal, de los que hace expresa cita (singularmente, STC 205/2013, de 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el presente caso no se puede afirmar que se haya producido vulneración efectiva de la garantía de inmediación, pues el derecho fundamental a un proceso con todas las garantías presenta un carácter eminentemente circunstancial en esta vertiente, y no cabe efectuar reproche constitucional alguno cuando la condena pronunciada en apelación —tanto si el apelado hubiera sido absuelto en la instancia como si la Sentencia de apelación empeora su situación— no altera el sustrato fáctico sobre el que se asienta la Sentencia del órgano a quo, o cuando, a pesar de darse tal alteración, esta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(STC 272/2005, de 24 de octubre, FJ 2). En el presente caso las Sentencias casacionales no modificaron el relato de hechos probados desarrollado en los antecedentes de la Sentencia de la Audiencia Provincial de Vizcaya (no considera genuina alteración del factum la supresión del último párrafo del relato que solo contenía hechos negativos sin significación penal) limitándose a efectuar una operación de subsunción jurídica de dichos hechos en el tipo penal del artículo 368 CP, como tampoco se vulneró el derecho a la presunción de inocencia, pues fue un juicio de inferencia divergente del efectuado en la instancia, pero de irreprochable consistencia lógica, el que condujo a la Sala Penal del Tribunal Supremo a extraer de unos mismos indicios o “hechos base” la existencia de un riesgo de difusión a terceros y de fomento del consumo ilícito de la sustancia estupefaciente intervenida, incompatible con la aplicación del supuesto excepcional de atipicidad del “autoconsumo compartido”, tal y como ha sido perfilado por la propia jurisprudencia del Tribunal Supremo, así como la concurrencia en los acusados de un error de prohibición que hubieran podido superar de haber sido más diligentes en la comprobación de la legalidad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no obstante, sí hubiera sido preciso respetar la garantía procesal de inmediación de los acusados cuando, una vez casada la Sentencia absolutoria de instancia, se pasó al enjuiciamiento de la concurrencia del error de prohibición en la segunda Sentencia del Tribunal Supremo, pues al otorgarle un efecto meramente atenuatorio, y no eximente, constituyó “una aportación también decisiva al resultado final de condena e imposición de pena” que hacía exigible un “complemento garantista”: según doctrina constitucional de la que hace cita, la conciencia de la antijuridicidad constituye un hecho subjetivo integrado en la vertiente fáctica del enjuiciamiento que exige la celebración de vista pública con audiencia personal del acusado para que pueda exponer ante el Tribunal su versión de los hechos como garantía específica vinculada a su derecho de defensa. Advierte por ello que se vulneró el derecho de defensa de los recurrentes al ser condenados en la segunda Sentencia del Tribunal Supremo sin haber sido oídos previamente por el Tribunal, pues la vista que convocó de oficio en virtud del artículo 897.2 LECrim para debatir la concurrencia del error, no contó con su presencia. Afirma que el alcance del amparo a conceder por este motivo se limitaría a una mera retroacción procedimental para la reparación del derecho fundamental reseñado, ofreciendo a los recurrentes la posibilidad de ser oídos en los términos procedentes, ciñendo la posible nulidad a la segunda Sentencia del Tribunal Supremo 788/2015, de 9 de diciembre en virtud del principio de conservación de los actos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sin embargo, la vulneración alegada en el motivo decimoquinto del recurso de amparo del derecho a la doble instancia penal previsto en el artículo 14.5 del Pacto internacional de derechos civiles y políticos toda vez que nos encontramos ante una condena emanada del órgano que ocupa la cúspide de la jurisdicción penal, y que la doctrina constitucional no objeta la condena recaída en segunda instancia por entender que no hay indefensión cuando las pretensiones del actor han sido examinadas por dos órganos judiciales distintos, contando además con el apartado segundo del artículo 2 del Protocolo núm. 7 al Convenio europeo para la protección de los derechos humanos y de las libertades fundamentales que excepciona expresamente la condena resultante de un recurso interpuesto contra su previa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seguidamente los motivos tercero y cuarto relativos a la vulneración del derecho a la tutela judicial efectiva y la denuncia de incongruencia omisiva. El motivo tercero impugnaba la condena de don Enrique Javier Barazón Amat por falta de determinación de su participación en los hechos, motivo que desecha el Fiscal porque en ambas Sentencias casacionales hay una determinación fáctica suficiente de su vinculación con la asociación Pannagh, y de las labores de limpieza, selección, pesaje y empaquetado al vacío de la sustancia estupefaciente que desarrollaba a su servicio, lo que sirvió de soporte de su condena por el subtipo atenuado del artículo 369.2 CP en atención a su carácter secundario o accesorio. En cuanto a la incongruencia omisiva reprochada en el recurso de amparo al Auto del Tribunal Supremo de 15 de febrero de 2016 resolutorio del incidente de nulidad de actuaciones, el Fiscal rechaza su concurrencia por entender que la desestimación de todas las alegaciones vertidas en el escrito de promoción del incidente se infería con claridad del conjunto de los razonamientos contenidos en la resolución, por lo que estaríamos ante un caso de desestimación tácita constitucionalmente legítima, no de una incongruencia omisiva o ex silentio lesiva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examina seguidamente los motivos de amparo de orden sustantivo construidos en torno a la vulneración del principio de legalidad penal desde la doble perspectiva de la taxatividad de la configuración legal del artículo 368 CP, y de la razonabilidad de la subsunción judicial de los hechos, dando respuesta a las vulneraciones denunciadas en los motivos quinto a decimocuarto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analiza en primer lugar la configuración normativa del artículo 368 CP y rechaza que el mismo contenga un tipo delictivo descrito en forma tan abierta que propicie o facilite un arbitrio judicial absoluto o descontrolado, pues su núcleo central se compone de factores suficientemente definidos para facilitar su concreción: la realización de actos de cultivo, elaboración o tráfico, o de comportamientos que de otro modo promuevan, favorezcan o faciliten el consumo ilegal de drogas tóxicas, sustancias estupefacientes o psicotrópicas, o su posesión con tales fines. Considera que el hecho de que los jueces y tribunales dispongan de un margen de apreciación de los términos utilizados en el precepto no es contrario, sino compatible, con el principio de legalidad penal según doctrina constitucional y del Tribunal Europeo de Derechos Humanos, que admiten la legitimidad del uso de categorías generales o de cláusulas más o menos precisas, susceptibles de interpretación judicial, en virtud de la abstracción de las normas jurídicas y la inevitable generalidad del lenguaje. Añade que para enjuiciar la suficiencia o insuficiencia, a la luz del principio de tipicidad, de la labor de predeterminación normativa de las conductas sancionadas debe tenerse en cuenta también el contexto legal y jurisprudencial en el que el precepto se inscribe, pues el ordenamiento jurídico es una realidad compleja e integrada, dentro de la cual adquieren sentido y significación propia —también en el ámbito penal— cada uno de los preceptos singulares, y que existe una normativa internacional, supranacional y nacional relacionada con el artículo 368 CP en cuyo contexto los términos del mismo adquieren sentido y significación. Cita, al efecto, los tres principales tratados de Naciones Unidas que conforman el marco legal internacional del régimen de control mundial de las drogas: la Convención única sobre estupefacientes de 1961, enmendada por el Protocolo de 1972, el Convenio sobre sustancias psicotrópicas de 1971 y la Convención sobre el tráfico ilícito de estupefacientes y sustancias psicotrópicas de 1988, cuyo artículo 3 contiene la relación de las conductas a definir como delitos en las legislaciones internas. Cita igualmente la Decisión Marco 2004/757/JAI del Consejo de 25 de octubre de 2004, relativa al establecimiento de disposiciones mínimas de los elementos constitutivos de delitos y las penas aplicables en el ámbito del tráfico ilícito de drogas, cuyo artículo 2 contiene igualmente una relación de conductas cuya punibilidad debe ser garantizada en cada uno de los Estados miembros de la Unión Europea. En el ámbito nacional cita como principales referentes la Ley 17/1967, de 8 de abril, de estupefacientes, y la normativa en materia de seguridad ciudadana. Concluye de lo anteriormente dicho que la concreción incluso de los elementos abiertos del artículo 368 CP es razonablemente factible en virtud de criterios lógicos, técnicos o de experiencia, de tal forma que puede asegurarse que cabe prever son suficiente seguridad la naturaleza y características esenciales de las conductas constitutivas de la infracción tipificada.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seguidamente la razonabilidad de la subsunción judicial de los hechos en el artículo 368 CP aplicando los cánones definidos por la doctrina constitucional de respeto a los términos empleados en la norma, a las reglas de interpretación aceptadas en la comunidad jurídica y a los valores y principios constitucionales, y concluye que la Sentencia del Tribunal Supremo núm. 788/2015 (primera Sentencia casacional), al aplicar los criterios establecidos en la anterior Sentencia del Pleno del Tribunal Supremo núm. 484/2015, que cita a su vez un precedente anterior constituido por la Sentencia del Tribunal Supremo 670/1994, de 17 de marzo, efectuó un uso adecuado de las herramientas interpretativas que proporcionaba la normativa nacional, internacional y supranacional anteriormente citada, al concluir que la conducta enjuiciada constituía un supuesto de favorecimiento del consumo ilícito de sustancias estupefacientes merecedor de reproche penal y no susceptible de ser encuadrado en la excepción típica del consumo compartido creada por la jurisprudencia para ser aplicada en supuestos diferentes. Considera, en suma, que la subsunción verificada por el Tribunal Supremo cumple los parámetros constitucionales derivados del principio de legalidad penal del artículo 25.1 CE porque tiene fundamento razonable, y no es imprevisible ni contraria a la orientación material de la norma, utilizando como elemento de restricción interpretativa de los elementos del tipo el concepto de alteridad, entendido como riesgo de difusión del consumo de la sustancia estupefaciente entre terceros, en los que incluye a los socios consumidores, así como la interpretación del concepto de consumo ilegal conforme al entendimiento del mismo en el contexto legal nacional, internacional y supranacional.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el fundamento de la queja de vulneración del principio de proporcionalidad por ausencia de lesividad, o escasa lesividad del bien de la salud pública, de la conducta enjuiciada, que se formula como motivo décimo, por considerar que se trata de una queja dirigida más bien a la norma jurídica y al marco penal establecido por el legislador, lo que la sitúa en el ámbito de la política criminal y del debate sociológico relativo a la búsqueda de alternativas a la reacción penal, más que en el de los valores y principios constitucionales, concluyendo que la queja carece de consistencia en el marco de una práctica universal y prácticamente unánime favorable a utilizar la vía penal para impedir el consumo ilegal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queja de que se ha aplicado retroactiva y sorpresivamente una interpretación jurisprudencial nueva del contenido del artículo 368 CP, deducida en el motivo octavo, argumentando que no ha existido un cambio jurisprudencial que pudiera parangonarse en lo más mínimo con el que motivó la condena a España en la Sentencia del Tribunal Europeo de Derechos Humanos de 21 de octubre de 2013, asunto del Río Prada contra España, pues en este caso el criterio decisorio ya había sido definido por el Tribunal Supremo mucho antes de la comisión de los hechos enjuiciados, en el precedente constituido por la Sentencia del Tribunal Supremo 1377/1997, de 17 de noviembre, que se pronunció en relación con una asociación de naturaleza similar que había arrendado una finca para el cultivo de cannabis destinada al consumo de sus socios, precedente que hacía previsible el carácter punible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la queja derivada de la no aplicación del subtipo atenuado del artículo 368.2 CP, incluida en el motivo decimoprimero, cuyo fundamento igualmente desestima por entender que se trata de una cuestión de mera subsunción jurídica de los hechos inherente al ejercicio de la potestad jurisdiccional que en este caso no llega a producir afectación alguna al derecho fundamental a la legalidad penal al tratarse de un subtipo atenuado de aplicación judicial facultativa en base a la apreciación de dos conceptos jurídicos indeterminados —la escasa entidad del hecho y las circunstancias personales del culpable— que el Tribunal consideró concurrentes solo en dos de los acusados en virtud de la menor importancia de su contribución al hecho, razonándolo adecuadamente en la segunda Sentencia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cuando a la queja relativa a la no apreciación del error de tipo, y a la no apreciación del carácter invencible del error de prohibición, recogida en los motivos decimosegundo y decimotercero, el Fiscal rechaza igualmente su procedencia y fundamento por tratarse de la expresión de una mera discrepancia de parte con el criterio judicial seguido al aplicar al caso las reglas del artículo 14 CP que regulan el error, que el Fiscal considera debidamente razonado en la segunda Sentencia de casación, en la que se valora que el error de los recurrentes no recayó en la ilicitud de la conducta —error de tipo— sino en el alcance de la prohibición, y que dicho error podría haber sido despejado de haber realizado los recurrentes en su momento un mínimo esfuerzo sincero de indagación de la licitud de la actuación que se proponían realizar. Rechaza asimismo que sea apreciable incongruencia omisiva por el hecho de no pronunciarse sobre las Sentencias absolutorias y Autos de sobreseimiento invocados por la parte como justificativos del error, pues el rechazo de su relevancia a efectos de apreciar la concurrencia de error aparece suficientemente justificado en la motivación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el fundamento de la queja relativa a la falta de acreditación de la cantidad de sustancia intervenida, de su naturaleza estupefaciente y de su valor económico, que se articula en los motivos sexto y séptimo, recordando al efecto que el Tribunal Constitucional carece de potestad para entrar a valorar los hechos probados en sí mismos considerados, tratándose además de aspectos que no fueron cuestionados en el proceso ni por el Fiscal ni por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2018,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Segunda del Tribunal Supremo de 9 de diciembre de 2015 que condena a los demandantes, inicialmente absueltos, como autores de un delito contra la salud pública con la concurrencia de un error vencible de prohibición y contra el Auto de la misma Sala de 15 de febrero de 2016 que desestima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de una parte, que las resoluciones judiciales han lesionado su derecho a la legalidad penal (art. 25.1 CE) en su vertiente material, tanto por las deficiencias inherentes al tipo penal sobre el que se asienta su condena, descrito en el artículo 368 del Código penal (CP), que consideran excesivamente indeterminado y abierto, como por haberse efectuado una irracional aplicación de dicho precepto, así como de las normas que regulan en nuestro ordenamiento penal las modalidades del error y sus efectos en la condena; de otra parte afirman que se les han rehusado garantías esenciales del procedimiento pacíficamente reconocidas tanto en la doctrina constitucional como en la del Tribunal Europeo de Derechos Humanos, singularmente la garantía de la inmediación en la valoración de las pruebas, el derecho de defensa en su modalidad de derecho a ser oído por el tribunal que dicta condena, el derecho a la doble instancia penal, el derecho a la tutela judicial efectiva en su vertiente de derecho a obtener una resolución motivada y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otorgue parcialmente el amparo y que se anule la segunda Sentencia casacional y el posterior Auto, por el único y exclusivo motivo de haberse visto vulnerado el derecho de defensa de los demandantes al haber sido condenados por un Tribunal que no les había oído (art. 24.1 CE), rechazando el fundamento de las restantes lesiones sustantivas y procesales invocadas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115/2002, de 20 de mayo, FJ 3; 65/2003, de 7 de abril, FJ 2; 198/2003, de 10 de noviembre, FJ 3, o 126/2010, de 29 de noviembre, FJ 2, y en la más reciente STC 105/2013, de 6 de mayo, hemos declarado que corresponde a este Tribunal, en función de las circunstancias concurrentes en cada supuesto concreto determinar no solo el orden del examen de las quejas,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Acogiéndonos a dicha doctrina vamos a analizar los quince motivos de amparo deducidos en el presente recurso —algunos de los cuales abundan en las mismas infracciones— disponiéndolos en el orden que mejor contribuya a la claridad de su análisis, que en este caso entendemos exigiría dar preferencia a los que aparecen relacionados con la infracción del principio de legalidad penal reconocido en el artículo 25.1 CE desde las tres perspectivas aducidas, que son: i) la defectuosa conformación normativa de la conducta típica descrita en el artículo 368 CP, que a juicio de los demandantes carece de la necesaria precisión para constituir una norma previsible (motivo quinto), ii) el irrazonable juicio de tipicidad verificado por el Tribunal Supremo al subsumir los hechos probados en dicho precepto, lo que se enlaza además con la posible infracción del principio de proporcionalidad y del derecho a la libertad personal (motivos séptimo, y noveno a decimoprimero), así como la irrazonable aplicación del error de prohibición, en su modalidad vencible, que conecta con el derecho a la tutela judicial efectiva en su vertiente de derecho a obtener una resolución judicial motivada (motivos decimosegundo y decimotercero), y iii) la supuesta aplicación retroactiva de una jurisprudencia desfavorable a los acusados (motivo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Procedería, a continuación, el análisis de las vulneraciones relacionadas con diversas garantías procesales, que la demanda sustenta en los siguientes motivos: i) por haberse efectuado en las resoluciones impugnadas una valoración de las pruebas personales sin inmediación, en relación con la consideración de la conducta como típica y al conocimiento que los acusados tenían o debían tener sobre el carácter prohibido de su conducta (motivo primero), ii) haber sido condenados sin dar a los acusados la posibilidad de ser oídos privándoles de su derecho de defensa (motivo segundo), iii) vulneración del derecho a la tutela judicial efectiva y a un proceso con todas las garantías sufrido por el demandante don Enrique Javier Barazón Amat al no haber recibido el mismo tratamiento que le fue dispensado a don Igor Gaminde Garrido, que resultó absuelto por indeterminación de su participación en los hechos (motivo tercero), iv) vulneración del derecho a la tutela judicial efectiva por la incongruencia omisiva en la que incurrió el Auto resolutorio del incidente de nulidad, al dejar sin resolver varias cuestiones planteadas en el incidente (motivo cuarto), v) vulneración del derecho a la presunción de inocencia por falta de prueba de los elementos objetivos del tipo, relativos a la naturaleza y peso de la sustancia —cuestiones, por cierto, que no fueron discutidas en la instancia ni por el Fiscal ni por las defensas— (motivo sexto) y del elemento subjetivo del tipo relativo al error y su invencibilidad (motivo decimocuarto), y vi) vulneración del derecho de defensa y a un proceso con todas las garantías por falta de una instancia penal posterior a la condena (motivo decimoquinto).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dar preferencia a la denuncia que desarrolla el motivo quinto del recurso de amparo y que se basa en la inconcreción de las proposiciones utilizadas en el artículo 368.1 CP para describir la conducta sancionada como delito contra la salud pública, que a juicio de los recurrentes incumpliría la garantía material de determinación de la ley inherente al principio de legalidad penal reconocido en el artículo 25.1 CE, poniendo a los ciudadanos en la tesitura o riesgo de sufrir condenas imprevisibles. La preferencia otorgada a este particular motivo derivaría de que, en el caso de apreciarse fundamento suficiente para su estimación, el Tribunal se vería precisado a plantear una cuestión interna de inconstitucionalidad en los términos del artículo 55.2 de la Ley Orgánica del Tribunal Constitucional (LOTC) antes de resolver sobre la procedencia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al enunciado del artículo 368 del Código penal la indeterminación “de todos sus elementos”, “la insoportable acumulación de elementos vagos e indefinidos” que ha propiciado el dictado de fallos opuestos en casos semejantes, que no está claro ni se puede determinar por medio de criterios fiables qué es “promover, favorecer o facilitar” ni “consumo ilegal”, concepto cuya concreción, dice el recurso, impone al ciudadano de a pie un arduo escrutinio de leyes extrapenales, afirman igualmente que no es previsible que pueda ser considerada delito una conducta que tratan de regular las administraciones públicas y que realizan decenas de miles de ciudadanos de forma no clandestina. Concluyen que se trata de un tipo formulado de forma tan abierta que su aplicación o inaplicación depende de una decisión prácticamente libre y arbitraria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calidad normativa del artículo 368 CP, desde la perspectiva de la garantía material de determinación de los preceptos penales, ha sido respaldada en la reciente STC 146/2017, de 14 de diciembre, FJ 3, en un caso de condena en segunda instancia de miembros de una asociación cannábica que presentaba acusadas similitudes con el presente. Los razonamientos de dicha sentencia, estructurados en dos apartados, establecían la siguiente doctrina, íntegramente aplicable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recordar que el derecho a la legalidad penal (art. 25.1 CE), se articula a través de una doble garantía: material y formal. La primera —que es la que eventualmente se vulnera a juicio de los demandantes—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artículo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redacción del artículo 368 CP (‘Los que ejecuten actos de cultivo, elaboración o tráfico, o de otro modo promuevan, favorezcan o faciliten el consumo ilegal de drogas tóxicas, estupefacientes o sustancias psicotrópicas, o las posean con aquellos fines’), no contempla un tipo delictivo de formulación tan abierta que respalde el ejercicio de una decisión prácticamente libre y arbitraria. La utilización de verbos de uso habitual en el lenguaje y de conocimiento accesible como cultivar, elaborar, traficar, promover, favorecer o facilitar el consumo ilegal de drogas tóxicas, estupefacientes o sustancias psicotrópicas, no dejan en la indefinición la conducta típica. Al contrario, la esfera del comportamiento ilícito es perfectamente inteligible, conforme a valores socialmente arraigados, siendo razonablemente factible y previsible su concreción mediante criterios comunes a la experiencia humana. Conviene en este punto recordar que, ‘dado el carácter general de las leyes, el texto de las mismas no puede presentar una precisión absoluta. Una de las técnicas tipo de regulación consiste en recurrir a categorías generales en vez de listas exhaustivas. Por lo tanto, numerosas leyes utilizan, necesariamente, fórmulas más o menos imprecisas cuya interpretación y aplicación dependen de la práctica (asuntos Kokkinakis, antes citado, § 40, y Cantoni, antes citado, § 31). Por tanto, en cualquier sistema jurídico, por muy clara que sea la redacción de una disposición legal, incluso en materia penal, existe inevitablemente un elemento de interpretación judicial. Siempre será necesario dilucidar las cuestiones dudosas y adaptarse a los cambios de situación. Por otra parte, la certeza, aunque muy deseable, se acompaña a veces de una rigidez excesiva; ahora bien el derecho debe saber adaptarse a los cambios de situación (asunto Kafkaris, antes citado, § 141).’ (STEDH, de 21 de octubre de 2013, asunto Del Río Prada contra España,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conducen a desechar la vulneración del principio de legalidad en su vertiente de exigencia de taxatividad de las normas penales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vulneración del principio de legalidad por defectos inmanentes al precepto penal aplicado, procede entrar al análisis de los motivos de amparo que denuncian la infracción del principio de legalidad penal en virtud de una errónea interpretación y aplicación judicial del mismo, y que el presente recurso centra en primer lugar en la irracional subsunción jurídica de los hechos probados en el tipo penal del artículo 368.1 CP (garantía de tipicidad), para seguidamente impugnar la negativa a aplicar el subtipo atenuado del artículo 368.2 CP, la opción por el error de prohibición, en lugar del error de tipo, y, subsidiariamente, la opción por el error de prohibición en su modalidad vencible, en lugar de la invencible.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consolidada en relación con el control constitucional de las decisiones judiciales desde las exigencias que impone el artículo 25.1 CE que la interpretación del contenido de los tipos sancionadores y el control del proceso de subsunción de los hechos probados en los preceptos aplicados es una cuestión ajena al contenido propio de la jurisdicción de este Tribunal al ser ésta una función que, de acuerdo con lo establecido en el artículo 117.3 CE, corresponde en exclusiva a los jueces y tribunales ordinarios (por todas, STC 199/2013, de 5 de diciembre, FJ 13). Ahora bien, a este Tribunal le compete la labor de verificar que la subsunción de los hechos en el correspondiente tipo, administrativo y penal, o lo que es lo mismo, que la concreta aplicación de la norma sancionadora, respeta las exigencias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razonabilidad de la subsunción de los hechos probados en la norma penal o sancionadora, el primero de los criterios a utilizar es la compatibilidad de dicha subsunción con el tenor literal de la norma, con la consiguiente prohibición de la analogía in malam partem. A dicho criterio inicial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de 6 de noviembre, FJ 5; 2/2015, de 19 de enero, FJ 8, y STC 146/2015,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 los antecedentes, la STS 788/2015, de 9 de diciembre, examina el sentido y alcance del artículo 368 CP, siguiendo en este punto los criterios expresados en la STS (Pleno) 484/2015, de 7 de septiembre, singularmente en la interpretación del contenido del elemento normativo del tipo “consumo ilegal”, bajo el prisma de la normativa extrapenal y de la jurisprudencia precedente, y lo define como “toda utilización o ingesta de la droga por diversas vías orgánicas que no sea aquella que esté expresamente autorizada por tener finalidad terapéutica o positiva para la salud”. Afirma que la ausencia de lucro no excluye el carácter punible de la conducta cuando se pone en riesgo el bien jurídico protegido al facilitar el consumo de la sustancia estupefaciente por terceros, que el debate social y político sobre el grado de prohibición o tolerancia de las sustancias estupefacientes corresponde a otros poderes del Estado, no a los tribunales, que no se debe perder de vista la política criminal supranacional, y que el marco aplicable al presente caso es el interno constituido por el artículo 368 CP, la regulación administrativa nacional sobre control de sustancias estupefacientes, así como la normativa internacional a la que considera un referente insoslayable y de la que hace expresa cita (en concreto, la Convención única de las Naciones Unidas de 1961 sobre estupefacientes, enmendada por el Protocolo de 1972, y la Convención de Viena de 1988) que obligan a los Estados parte a perseguir como delitos las conductas intencionadas de cultivo, producción, fabricación, extracción, preparación, posesión, oferta, venta, distribución, despacho por cualquier concepto, corretaje, expedición, transporte, importación y exportación de sustancias estupefacientes, entre las que se incluye el cannabis como sustancia a combatir, apelando igualmente a la normativa de la Unión Europea que establece las disposiciones mínimas de los elementos constitutivos de los delitos y penas aplicables en el ámbito del tráfico ilícito de drogas, la Decisión Marco 2004/757/JAI del Consejo de 25 de octubre de 2004, que constituye a su vez el instrumento básico en la materia, y en la que se incluye expresamente como objeto de persecución penal las conductas relacionadas con el cultivo de la planta de cannabis [art. 2 b)], excluyendo únicamente el caso de que los autores hayan actuado exclusivamente con fines de consumo personal tal y como lo define la legislación nacional (art. 2.2). Afirma el Tribunal Supremo que el consumo ilegal es un concepto de referencia que aunque no está incluido en la conducta punible del artículo 368 CP, es lo que se pretende evitar castigando toda acción encaminada a promoverlo, favorecerlo o facilitarlo, actos entre los que se incluyen el cultivo, la elaboración o el tráfico; considera por ello que el punto de partida para una correcta intelección del tipo penal es el concepto indeterminado de consumo ilegal, cuyo contenido lo proporciona la legislación extrapenal, concluyendo que se trata de toda utilización o ingesta de la droga por cualquier vía orgánica que no sea aquella que esté expresamente autorizada por tener finalidad terapéutica o positiva para la salud. Afirma que la asociación Pannagh presenta una estructura que la hace incapaz de controlar el riesgo de difusión de la droga a terceros y que sus creadores y organizadores son por tal razón responsables de crear una fuente de riesgos para el bien jurídico protegido, añadiendo que la doctrina jurisprudencial que ha admitido la ausencia de tipicidad del consumo compartido no es aplicable a este tipo de asociaciones por no cumplir sus requisitos, particularmente los relativos a que el consumo se produzca en lugar cerrado —la asociación proporcionaba el cannabis para ser consumido en cualquier lugar—, en un grupo reducido de adictos —la asociación tiene más de trescientos miembros— y en cantidades pequeñas de droga susceptibles de ser consumidas en una sola sesión o encuentro —incompatible con la magnitud de la sustancia incautada en este caso—. Considera, en consecuencia, que procede estimar el motivo único del recurso de casación del Fiscal, estimando que los hechos son subsumibles en el tipo penal del artículo 368 CP, aplicando en segunda Sentencia las penas correspondientes con la rebaja de grado que reporta la apreciación del error vencible de prohibición. En su posterior Auto de 15 de febrero de 2016 denegó la nulidad de actuaciones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problemática constitucional, debemos anticipar, compartiendo la argumentación del Ministerio Fiscal, que las resoluciones del Tribunal Supremo verifican una operación jurídica de subsunción penal respetuosa de la norma sancionadora desde la triple perspectiva anteriormente expuesta: sometimiento al tenor literal de la norma, que no se ve desbordado en ninguno de sus aspectos, ausencia en el plano metodológico de quiebras lógicas en su exégesis o de un apartamiento de los modelos de argumentación aceptados por la comunidad jurídica, y adecuación en el plano axiológico a las pautas valorativas que informan el ordenamiento constitucional interpretado a la luz de los convenios internacionales suscritos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contraviene el tenor literal del precepto considerar subsumibles en el tipo penal aplicado las actividades consistentes en cultivar, producir, preparar, envasar y entregar la sustancia estupefaciente a los socios para su consumo ulterior, conductas todas ellas que se declaran probadas en el relato de hechos de la Sentencia de instancia y realizan los verbos nucleares fijados en la descripción típica del artículo 368 CP en correspondencia con la normativa internacional y supranacional que establece las bases comunes de la represión del tráfico ilícito de drogas. No resulta metodológicamente extravagante, ni desborda los contornos del artículo 368 CP, entender que una asociación dedicada a cultivar y facilitar cannabis a sus miembros está promoviendo un consumo no autorizado por los convenios internacionales y las normas administrativas vigentes en nuestro país, tratándose por lo tanto del consumo ilegal que la norma penal trata de evitar, y que realizadas estas conductas en el seno de una estructura metódica, institucionalizada, con vocación de permanencia y abierta a la integración sucesiva y escalonada de un número elevado e indeterminado de personas, no les cuadra la exoneración del “consumo compartido” auspiciada jurisprudencialmente para contener la reacción penal en supuestos fácticos bien diferentes, caracterizados por el consumo inmediato de cantidades mínimas en un grupo cerrado y no muy numeroso de personas adictas y 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la subsunción penal puede considerarse intolerable desde los fundamentos teleológicos de la norma, en conexión con el bien jurídico protegido, ni reprochable desde la perspectiva axiológica, al no contravenir valores o principios contenidos en la Constitución y ser conforme con las previsiones de los convenios internacionales citados en la Sentencia, entre ellos, la Convención única sobre estupefacientes de 1961 que reconoce que la “toxicomanía constituye un mal grave para el individuo y entraña un peligro social y económico para la humanidad” y la Decisión Marco 2004/757/JAI del Consejo, de 25 de octubre de 2004, relativa al establecimiento de disposiciones mínimas de los elementos constitutivos de delitos y las penas aplicables en el ámbito del tráfico ilícito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también cuestiona desde la perspectiva del derecho a la legalidad penal la decisión del Tribunal Supremo de no aplicar la modalidad atenuada del delito contra la salud pública prevista en el artículo 368.2 CP a la totalidad de los acusados (motivo decimoprimero), e incluso su opción por el carácter vencible del error de prohibición (motivos decimosegundo y decimotercero).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lesiones no se pueden disociar conceptualmente de los motivos de vulneración del derecho fundamental a la legalidad penal analizados más arriba, pues establecida la legitimidad constitucional de la subsunción jurídica de los hechos probados en la configuración básica del delito contra la salud pública contenida en el apartado primero del artículo 368 CP, la selección de los tipos penales más idóneos, dentro del mismo capítulo del Código penal, para abarcar el desvalor de la conducta enjuiciada y el grado de culpabilidad de sus autores no sería revisable por este Tribunal salvo que apreciara que el órgano judicial ha extralimitado manifiestamente sus funciones mediante una interpretación extravagante o impredecible de las normas concurrentes. En relación con los límites constitucionalmente oponibles a la tarea judicial de selección de las normas aplicables al caso, este Tribunal ha dicho que “los órganos judiciales, al realizar el proceso de subsunción de los hechos en una norma penal, no pueden prescindir de la existencia de otras normas, con las que pueden existir relaciones concursales, que han de resolver conforme a pautas interpretativas y axiológicas que no sean extravagantes y que no conduzcan a resultados imprevisibles para el ciudadano. En definitiva, nuestro control en materia de legalidad penal ha de extenderse a la solución de las relaciones concursales entre los tipos penales, en la medida en que las mismas delimitan los ámbitos de aplicación de cada uno de ellos y, por tanto, el ámbito de lo punible”, aunque se recordaba también que “a este Tribunal no le compete pronunciarse sobre la interpretación última de los tipos sancionadores, ni controlar la corrección del proceso de subsunción de los hechos probados en la norma aplicada, ya que esa es función que el art. 117.3 CE encomienda en exclusiva a la jurisdicción ordinaria”, sometiendo la decisión a unas exigencias básicas de predictibilidad (STC 13/2003,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segunda Sentencia del Tribunal Supremo explicita suficientemente las razones por las que discrimina el título de imputación aplicable a quienes ejercían una actividad continuada en la asociación, de carácter no esporádico y prolongada durante meses, caso en el que se encontraban los demandantes don Martín Francisco Barriuso Alonso y doña Maitane Arrate Sustatxa, a los que aplica el subtipo especial cualificado del artículo 369.5 CP —en relación con el artículo 368.1 CP— teniendo en cuenta la importancia de la sustancia incautada, representativa únicamente de una parte de la sustancia efectivamente distribuida, y quienes colaboraron manipulando y preparando una cantidad no determinada de sustancia estupefaciente, caso en el que se encontraban los demandantes de amparo don Enrique Javier Barazón Amat y doña Pilar Fernanda Badiola Mazariegos, a los que aplica el subtipo especial privilegiado del artículo 368.2 CP por considerar que habían incurrido en un hecho de menor entidad. El Tribunal Supremo no ha incurrido en una metodología irracional o absurda de selección de normas al graduar de este modo la respuesta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también el reproche relativo a la aplicación restrictiva del artículo 368.2 CP, por no alcanzar a la totalidad de los acusados en el procedimiento, constituye una mera discrepancia de parte con la interpretación judicial del derecho que resulta intrascendente desde la perspectiva de la integridad y eficacia del principio de legalidad penal reconocido en 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 conclusión conduce el examen de la estructura racional de la segunda Sentencia del Tribunal Supremo cuando aprecia la concurrencia en los acusados de un error de prohibición susceptible de atenuar, pero no de eximir, su responsabilidad penal. El Tribunal Supremo infiere el carácter vencible del error al admitir que los demandantes pudieran haber experimentado una percepción equivocada de que el cultivo asociativo de cannabis pudiera ser una conducta legalmente tolerada, a partir de una incorrecta comprensión de la doctrina jurisprudencial del consumo compartido, de la existencia de resoluciones judiciales que han negado relevancia penal a supuestos similares y de la presencia de asociaciones similares en la geografía nacional. El Tribunal Supremo considera que los recurrentes mostraron una actitud de “relativa indiferencia” a la cuestión de la legalidad de su actuación, y entiende que albergaron dudas sobre la misma que no trataron de despejar, asumiendo con ello el riesgo de la ilicitud. Para ello parte de la deliberada falta de claridad de los estatutos asociativos, que omitieron mencionar entre sus objetivos el cultivo de cannabis para su distribución entre los socios, señalando al respecto que “[s]u eventual creencia equivocada se hubiese despejado probablemente mediante la presentación de sus estatutos ante la autoridad gubernativa con una descripción transparente de la real actividad que se proponían sin esconderla bajo fórmulas ambiguas e invocaciones retóricas de unos consejos jurisprudenciales. Si ante eso la autoridad gubernativa, pese a tratarse de una actividad claramente ilegal, hubiese dado curso a la inscripción, de forma tácita o expresa, podríamos plantearnos —no asegurar— la inevitabilidad del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validez y suficiencia de los razonamientos empleados por la segunda Sentencia del Tribunal Supremo para aplicar el artículo 14.3 CP no queda comprometida, como la demanda de amparo parece sugerir, por la preexistencia de resoluciones judiciales divergentes en el tratamiento penal que han de recibir las conductas consistentes en el cultivo asociativo del cannabis, pues el Tribunal Supremo razona adecuadamente que el principio de confianza en la jurisprudencia no es justificación suficiente de la invencibilidad del error de prohibición cuando es precisamente el órgano supremo en la escala judicial el que afirma la tipicidad del hecho frente al criterio discordante y contradictorio de la jurisprudencia menor, añadiendo que ni tan siquiera la confluencia de sentencias contradictorias procedentes de tribunales de igual jerarquía permitiría excluir de plano la conciencia eventual del ilícito. Tampoco se observa que el Tribunal Supremo haya experimentado un cambio de criterio en el juicio de tipicidad aplicable a estas conductas, pues los tres pronunciamientos que son objeto de cita en el escrito de alegaciones formulado por los demandantes, SSTS 563/2016, de 27 de junio, 571/2016, de 29 de junio, y 698/2016, de 7 de septiembre, vienen a “enriquecer o robustecer las razones” —utilizando los expresivos términos a los que recurre la STS 91/2018, de 21 de febrero, fundamento de Derecho 1— que justifican que este tipo de conductas sigan siendo incardinadas en el artículo 368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aplicación del artículo 14.3 CP en la segunda Sentencia del Tribunal Supremo no presenta fallas argumentales que la hagan constitucionalmente cuestionable desde la perspectiva del principio de legalidad penal garantizado en el artículo 25.1 CE, aunque se sustenta en un presupuesto fáctico, el conocimiento imperfecto o eventual de la ilicitud de su conducta por parte de los demandantes, que difícilmente puede ser declarado sin un contacto inmediato con las fuentes de la prueba, cuestión que se adentra en el terreno de las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agotamiento de los motivos de amparo que se cobijan en el ámbito protector del artículo 25.1 CE exige abordar los aducidos en el octavo de ellos, cuando atribuye el origen de la lesión a la aplicación retroactiva de una supuestamente novedosa interpretación del artículo 368 CP. En este punto es inevitable conformar la respuesta siguiendo las pautas fijadas en la STC 146/2017, FJ 5, por la similitud fáctica y jurídica del caso planteado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demandantes invocan como fundamento de su pretensión anulatoria la doctrina emanada de la STEDH de 21 de octubre de 2013 (asunto Del Río Prada c. España). Hemos de negar, sin embargo, la premisa mayor esgrimida en el recurso, pues el caso sometido a nuestro enjuiciamiento, a diferencia del abordado por la Sentencia indicada, no ha supuesto una aplicación retroactiva de una interpretación jurisprudencial desfavorable e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precisar en el fundamento jurídico 4 del ATC 155/2016, de 20 de septiembre, en el supuesto resuelto en la citada Sentencia del Tribunal Europeo, “la penada había obtenido una primera decisión judicial firme (Auto de la Audiencia Nacional de 30 de noviembre de 2000) que determinaba, de forma definitiva, la pena total que le resultaba aplicable. Esa decisión inicial, beneficiosa para la penada, implicaba que, conforme a la práctica judicial entonces existente y pacífica, las redenciones de penas por trabajo consolidadas conforme al Código penal de 1973, debían proyectarse sobre el límite máximo de cumplimiento resultante de la acumulación de condenas (en el entendimiento de que dicha acumulación generaba una pena de nuevo cuño, con dimensión sustantiva propia). La penada contaba, de este modo, con una primera decisión judicial firme que suponía que la legalidad penal le debía ser aplicada de un modo determinado, lo que le generaba la expectativa inequívoca de que el cumplimiento de la condena de prisión de 30 años, resultante de la acumulación, se vería reducida por la aplicación de las redenciones de pena por trabajo obtenidas previamente, de ahí que el tiempo de cumplimiento efectivo de aquélla aún se habría acortado más. Cuando, en el año 2008, se produjo la decisión judicial que le aplicó el sistema de cómputo de las redenciones de un modo completamente distinto (perjudicial para la afectada) tuvo lugar, como señala la resolución del Tribunal Europeo, una aplicación retroactiva desfavorable de la legalidad penal que supuso, de facto, una alteración sustancial de la penalidad que ya había sido establecida judicialmente para ese proceso. Dada la práctica judicial existente hasta ese momento, tal variación de la penalidad no era en modo alguno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Perfilada de este modo la doctrina constitucional sobre lo que puede legítimamente considerarse una aplicación retroactiva de nuevas construcciones jurisprudenciales constitucionalmente proscrita, es evidente que el presente caso no queda abarcado en la misma, pues el Tribunal Supremo introdujo como argumento decisorio determinante del juicio positivo de tipicidad, mediante la cita del inmediato precedente constituido por su STS 484/2015, un pronunciamiento cronológicamente anterior a la comisión de los hechos enjuiciados, el constituido por la STS 1377/1997, de 17 de noviembre, del que cabía extraer con meridiana claridad que el cultivo compartido de cannabis en el ámbito de una asociación no podía aspirar al grado de tolerancia judicial que los demandantes de amparo afirman que era objetivamente esperable. Es elocuente, sin necesidad de mayores comentarios, que la STS 1377/1997 estimara un recurso de casación por infracción de ley interpuesto por el Ministerio Fiscal contra una sentencia de primera instancia que absolvió a los procesados del delito de cultivo de drogas y estupefacientes, y que el Tribunal Supremo se pronunciara en términos contundentes, al condenar a los responsables de una asociación de similar naturaleza a la participada por los demandantes, que había arrendado una finca para la plantación de cannabis con destino exclusivo al autoconsumo de sus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hemos de descartar que en este caso se haya producido una aplicación retroactiva de un novedoso criterio interpretativo desfavorable e imprevisible que venga a sustituir a otro más beneficioso.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en el análisis de las vulneraciones de naturaleza procesal, comprobamos que los demandantes de amparo protestan la infracción de su derecho a un proceso con todas las garantías (art. 24.2 CE) por haberse efectuado en las resoluciones impugnadas una valoración de las pruebas personales sin inmediación, en relación con la consideración de la conducta como típica y al conocimiento que los acusados tenían o debían tener sobre el carácter prohibido de su conducta, aludiendo en este punto también a la afectación de su derecho a la presunción de inocencia; aducen asimismo haberse visto privados de su derecho de defensa, por haber sido condenados sin haber tenido la oportunidad de ser oídos, así como por habérseles privado de una instancia penal posterior a la condena. De forma puntual también invocan la vulneración del derecho a la tutela judicial efectiva, por incongruencia omisiva, y del derecho a la presunción de inocencia por darse por probado que la sustancia incautada era cannabis y su peso, incurriendo en este último punto en una actitud incongruente, pues en la jurisdicción ordinaria no se discutieron los hechos sino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conveniente empezar efectuando una sintética exposición de la evolución de la doctrina constitucional relativa al derecho a un proceso con todas las garantías y al derecho de defensa (art. 24.2 CE), vinculada a las condenas o la agravación de las mismas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Retomamos aquí la síntesis de doctrina constitucional efectuada en la STC 146/2017, FFJJ 6 y 7, cuando indicaba que el derecho a un proceso con todas las garantías ha sido objeto de un detenido y extenso análisis en numerosas Sentencias, inspiradas en la doctrina del Tribunal Europeo de Derechos Humanos (entre otras, SSTEDH de 26 de mayo de 1988, asunto Ekbatani c. Suecia, o de 27 de junio de 2000, asunto Constantinescu c. Rumania). En la STC 167/2002, de 18 de diciembre, FFJJ 9 a 11, el Pleno de este Tribunal Constitucional, señaló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doctrina constitucional, reiterada en numerosas resoluciones (entre las últimas, SSTC 126/2012, de 18 de junio, FJ 2; 22/2013, de 31 de enero, FJ 4, o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destacado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SSTC 272/2005, de 24 de octubre, FJ 5, o 153/2011, de 17 de octubre, FJ 4), o de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ésta,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centrándose en la cuestión de la acreditación de los elementos subjetivos del delito, se vino considerando, también en proyección de la doctrina de la STC 167/2002, que, desde la perspectiva de la exigencia de inmediación, el elemento determinante para concluir la eventual vulneración del derecho a un proceso con todas las garantías era verificar si el razonamiento judicial sobre la concurrencia de ese elemento subjetivo por el órgano judicial de segunda instancia se fundamentaba en elementos de prueba que exigieran inmediación (por todas, entre las últimas, SSTC 127/2010, de 29 de noviembre, FFJJ 3 y 4, o 126/2012, de 18 de junio, FJ 3); o, por el contrario, se vinculaba con pruebas que no tuvieran carácter personal (así, STC 137/2007, de 4 de junio, FJ 3) o sobre la base de un control de la razonabilidad de la inferencia llevada a cabo en instancia, a partir de unos hechos base que se dan por acreditados, argumentando que, en este último caso, se trata de una cuestión de estricta valoración jurídica que no exige la reproducción del debate público y la inmediación (por todas, SSTC 328/2006, de 20 de noviembre, FJ 3, o 184/2009,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13 de diciembre de 2011, asunto Valbuena Redondo c. España, § 29; 20 de marzo de 2012, asunto Serrano Contreras c. España, § 31. A las que siguieron con posterioridad las SSTEDH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éstas últimas expusieran sus argumentos en respuesta a las conclusiones expuestas (asunto Serrano Contreras, anteriormente citada, § 36).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ha sido decisivo en la determinación de la culpabilidad de los demandantes, pues el Tribunal Supremo sí que concluyó que hubo intencionalidad por parte de los demandantes sin valorar directamente su testimonio, conclusión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(asunto Serrano Contreras, anteriormente citada, § 39). Y habida cuenta de todas las circunstancias del proceso, concluyó que los demandantes han sido privados de su derecho a defenderse en el marco de un debate contradictorio, en consecuencia, por lo que ha habido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los criterios expuestos al presente caso permite ya anticipar la vulneración del derecho a un proceso con todas las garantías y del derecho de defensa en relación con el conocimiento que los acusados tenían o debían tener sobre el carácter prohibido de su conducta, no así en relación con la consideración de la conducta como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Aplicando tal parámetro y atendidas las circunstancias concurrentes, es de observar, en torno a la garantía de la inmediación como pilar central de la valoración de las pruebas personales, como afirma el Ministerio Fiscal, que no ha existido una alteración sustancial de los hechos probados, ni tampoco una reconsideración de prueba personal, en la conclusión alcanzada por el Tribunal Supremo al calificar los hechos probados como subsumibles en el tipo penal descrito en el artículo 368 CP y descartar que fuera de aplicación la doctrina del consumo compartido. En efecto, se ha expuesto en los antecedentes que la Sentencia de instancia absolvió a los demandantes al considerar que los hechos probados encajaban en la excepción de atipicidad de “autoconsumo compartido”. Planteada por el Ministerio Fiscal, en el recurso de casación, una discrepancia en la subsunción jurídica, al entender, que en atención al relato de hechos probados, no era de aplicación la doctrina del consumo compartido, el Tribunal Supremo se limitó a resolver una divergencia estrictamente jurídica, esto es, la discusión y la decisión casacional versaron sobre la concurrencia o no de los presupuestos exigidos en la jurisprudencia para apreciar la atipicidad penal derivada del consumo compartido. De tal modo que la subsunción de la conducta probada en el tipo finalmente aplicado por el Tribunal Supremo —que no consideró que concurrieran las condiciones para apreciar la exclusión de la tipicidad por consumo compartido—, se desarrolló al margen de cualquier reinterpretación o revisión de los hechos probados, y por ello, extramuros del alcance de la garantía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era indispensable contar con una audiencia pública de los acusados, al haberse limitado el Tribunal Supremo a efectuar una interpretación diferente en derecho a la del órgano judicial a quo en cuanto a un conjunto de elementos objetivos (STEDH de 10 de marzo de 2009, asunto Igual Coll c. España, § 36), resolviendo el debate estrictamente jurídico que le había sido planteado por el Ministerio Fiscal en su recurso de casación. El Tribunal Supremo, al fundamentar el encaje de la conducta probada en el tipo penal, se limitó a un aspecto puramente jurídico, y en tales circunstancias, tampoco el derecho de defensa de los acusados exigía que hubieran sido oídos por el Tribunal Supremo, que fue el primero en condenarles, pues tal audiencia de los recurrentes nada hubiera aportado sobre la divergencia de naturaleza estrictamente jurídica planteada (STEDH de 27 de junio de 2000, asunto Constantinescu c. Rumanía, §§ 58 y 59 y STC 45/2011,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conclusión debemos alcanzar en relación con la segunda de las cuestiones suscitadas, esto es, la relativa al respeto de la exigencia de inmediación en la valoración de pruebas personales y del deber de audiencia de los acusados como garantías específicas del derecho a un proceso con todas las garantías y del derecho de defensa respectivamente por el Tribunal Supremo al efectuar la inferencia sobre el conocimiento de la antijuridicidad de los recurrentes subyacente a la calificación como vencible o invencible el error de prohibición en el que incurrieron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planteado presenta las mismas singularidades que el abordado en la STC 146/2017, y que son las siguientes: i) el error de prohibición no había sido alegado por los recurrentes ante la Audiencia Provincial, como tampoco lo había sido en el recurso de casación; ii) la cuestión del error es analizada de oficio, en tanto que beneficiosa para los acusados, con posterioridad a estimar el primer motivo del recurso de casación, esto es, tras considerar que la conducta era típica y en consecuencia anular la Sentencia absolutoria de la Audiencia Provincial; iii) el Tribunal Supremo es quien abre un trámite para que las defensas de los acusados y el Ministerio Fiscal informen sobre si concurren los presupuestos del error previsto en el artículo 14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precisamente estas vicisitudes, y especialmente, el carácter favorable de la apreciación del error vencible de prohibición, lo que llevó a que el Tribunal Supremo descartara la vulneración del derecho de defensa, por no haber dado la posibilidad de oír a los acusados. Por otra parte, constituyen precisamente esas peculiaridades una de las razones que llevaron a apreciar que concurría en este asunto una especial trascendencia constitucional porque el recurso podía dar ocasión al Tribunal para aclarar o cambiar su doctrina, como consecuencia de un proceso de reflexión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coincidirse con el Ministerio Fiscal en que de haber limitado el Tribunal Supremo su actuación al primer motivo casacional, la tipicidad o atipicidad de la conducta probada, la condena de los inicialmente absueltos no hubiera merecido reproche constitucional alguno ni desde la garantía de inmediación ni desde la perspectiva del derecho de defensa conforme a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por el que la segunda Sentencia del Tribunal Supremo descarta el carácter invencible del error de prohibición y estima que concurre el error de prohibición vencible se sustenta en la inferencia llevada a cabo a partir de unos hechos base reflejados en los hechos probados tomando en consideración el contexto sociológico, el debate suscitado en pronunciamientos judiciales y el tenor de los estatutos de la asociación afectada. Ahora bien, el Tribunal Supremo, aunque formalmente no modifica el relato de hechos probados de la Sentencia de instancia —que había detenido su juicio en el elemento de la tipicidad penal— lo completa al introducir un nuevo elemento fáctico que imposibilita la exención de la responsabilidad penal y que a la postre será determinante de la condena en la segunda de las Sentencias. Es precisamente en esta segunda Sentencia en la que el Tribunal Supremo llega a la convicción de que los recurrentes se representaron como posible la antijuridicidad de su actividad y que no trataron de despejar esa duda, lo que le lleva a apreciar el error de prohibición como vencible y excluye, por dicha razón, su invencibilidad. Ahora bien, para alcanzar tal conclusión el Tribunal Supremo orilló cualquier ponderación de las declaraciones personales practicadas ante la Audiencia Provincial; en concreto, eludió valorar las declaraciones de los coacusados, en las que, según se refiere en los escritos de alegaciones presentados por sus defensas ante el Tribunal Supremo, manifestaron su convicción de estar actuando dentro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Tribunal Supremo abre el debate sobre la conciencia de la antijuridicidad de la conducta y solicita a las partes que le informen sobre la concurrencia de un error del artículo 14 CP, se introduce en una realidad jurídico penal intrínsecamente vinculada con la culpabilidad de los acusados, decantando su decisión no por la solución que exonera de la responsabilidad penal interesada por la defensa de los acusados —lo que hubiera determinado una respuesta penal absolutoria, como la de la instancia, carente por ello de esta específica problemática constitucional—, sino por una exoneración parcial, al considerar que el error padecido por los acusados era vencible, lo que a la postre lleva a que se condene a los inicialmente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Supremo, en su segunda Sentencia, condena a los acusados absueltos al descartar que el error de prohibición fuera invencible, esto es, rechaza que los acusados tuvieran certeza de la licitud de su actuación —tesis mantenida en el trámite de alegaciones por los letrados de los acusados—. Para alcanzar tal conclusión la Sentencia efectúa un razonamiento deductivo que partiendo de los hechos probados le lleva a afirmar que los acusados sopesaban y se representaban como posible la antijuridicidad de su actividad, lo que determina la exclusión de la invencibilidad del error y en consecuencia la revocación de la previa absolución sin atender la exigencia de la audiencia personal del acusado como garantía específica vinculada al derecho de defensa (art. 24.2 CE), y ello pese a que el núcleo de lo debatido, introducido de oficio por el Tribunal Supremo, afectaba con carácter general a la declaración de inocencia o culpabilidad y no versaba sobre estrictas cuestiones jurídicas (este era el caso de las SSTC 45/2011, de 11 de abril, FJ 3, o 153/2011, de 17 de octubre, FJ 6). El razonamiento del Tribunal Supremo versó sobre la intención de los acusados inferida de los hechos probados completados y reinterpretados con el examen de la prueba documental, por lo que la cuestión no podía ser resuelta sin dar la posibilidad a los recurrentes de ser oídos personalmente, y sin que dicha garantía pudiera ser sustituida por el trámite de alegaciones concedido a sus abogados, dada la naturaleza de las cuestiones de hecho y de derecho determinantes de la culpabilidad o de la inocencia,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destacar que la reconsideración de los hechos estimados probados en primera instancia no se limitó a una mera discrepancia jurídica, sino a la apreciación de la posibilidad de conocer lo ilícito de su conducta, concluyendo con la alternativa —error vencible de prohibición— que agravaba la absolución de la instancia, por lo que la posibilidad de los condenados de ser oídos era obligada para garantizar su defensa (por todas, la reciente STEDH de 8 de marzo de 2016, asunto Porcel Terribas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 considerarse producida la vulneración del derecho a un proceso con todas las garantías y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Constatada así la infracción del derecho a un proceso con todas las garantías y del derecho de defensa (art. 24.2 CE) en su concreción relativa a la posibilidad de ser oído cuando se debaten cuestiones de hecho y de Derecho por el Tribunal que dictó el pronunciamiento condenatorio, ha de otorgarse el amparo solicitado sin que sea necesario, en virtud de la extensión de la retroacción de actuaciones que se seguirá de la estimación de estos motivos, adentrarse en el análisis de las restantes vulneraciones de índole procesal que el recurso ha hilvanado en torno a diversas formas de desconocimiento del derecho a la tutela judicial efectiva, presunción de inocencia y derecho a un proceso con todas las garantías por falta de una instancia penal posterior a la condena (STC 157/2013,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los efectos del otorgamiento del amparo, pese a que es en la segunda Sentencia del Tribunal Supremo donde se concretan las vulneraciones de los derechos fundamentales que lo justifica, dicha Sentencia forma con la primera, de la que trae causa —y en cuyo fundamento de derecho segundo ya se adelanta la apreciación de un error de prohibición vencible— un conjunto inescindible del que resulta la revocación de la previa absolución sin atender las exigencias de inmediación y de audiencia personal de los acusados como garantías específicas vinculadas al derecho a un proceso con todas las garantías y del derecho de defensa (art. 24.2 CE). Por lo que para el pleno restablecimiento de los recurrentes en sus derechos resulta procedente la anulación de las dos Sentencias del Tribunal Supremo y del Auto desestimatorio del incidente de nulidad de actuaciones en tanto que no reparó dichas vulneraciones, retrotrayendo las actuaciones al momento inmediatamente anterior al dictado de la primera de ellas, para que el Tribunal Supremo se pronuncie sobre el recurso de casación interpuesto por el Ministerio Fiscal con respeto al contenido de los derechos fundamentales ya mencionados, así como de la interdicción de reformatio in peius.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Martín Francisco Barriuso Alonso, don Enrique Javier Barazón Amat, doña Maitane Arrate Sustatxa y doña Fernanda Pilar Badiola Mazariegos,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 los demandantes a un proceso con todas las garantías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las dos Sentencias de la Sala Segunda del Tribunal Supremo de 9 de diciembre de 2015 y del Auto de 15 de febrero de 2016 que desestimó el incidente de nulidad de actuaciones, dictadas en el rollo de casación núm. 834-2015, retrotrayendo las actuaciones al momento inmediatamente anterior al dictado de la primera de las sentencias, para que el Tribunal Supremo proceda de modo respetuoso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