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4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4731-2017, promovido por don Antonio Peñuela González y don Enrique Montalvo García, representados por la Procuradora de los Tribunales doña Marta Isla Gómez y bajo la dirección del Letrado don Evaristo Llanos Sola, contra la Sentencia de 21 de abril de 2017, dictada en el recurso de apelación núm. 217-2017 por la Audiencia Provincial de Almería, Sección Segunda, así como contra el Auto de la misma de 19 de julio de 2017, desestimatorio del sucesivo incidente de nulidad de actuaciones. Ha comparecido el Procurador de los Tribunales don Pablo José Trujillo Castellano, en representación de don Mario Callejón Berenguel, asistido por el letrado don Alfredo Najas de la Cruz.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28 de septiembre de 2017, la Procuradora de los Tribunales doña Marta Isla Gómez, en nombre y representación de don Antonio Peñuela González y don Enrique Montalvo García, interpuso recurso de amparo por vulneración de los artículos 24.1 y 24.2 CE contra la Sentencia de 21 de abril de 2017, dictada en el recurso de apelación núm. 217-2017 por la Audiencia Provincial de Almería, Sección Segunda, así como contra el Auto de la misma de 19 de julio de 2017, desestimatorio del sucesivo incidente de nulidad de actuaciones. En aquella, en procedimiento por delito de prevaricación administrativa, se impuso a los ahora demandantes la pena de inhabilitación especial para empleo o cargo público por tiempo de siete años, además del pago de las costas procesales, tras haber sido inicialmente absueltos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solicitaba por otrosí, ex artículo 56 de la Ley Orgánica del Tribunal Constitucional (LOTC), la suspensión de los efectos de las resoluciones impugnadas, por cuanto su ejecución podría causar perjuicios irreparables, señaladamente al Sr. Peñuela, ya que de tomar efectos perdería su condición de Alcalde de Partaloa (Almería), con perjuicio para el municipio. Por ATC 2/2018, de 22 de enero, se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relato fáctico de la sentencia de primera instancia declaraba que los recurrentes en amparo, concejales del Ayuntamiento de Partaloa (Almería), elaboraron y firmaron el día 24 de agosto de 2011 un documento junto a otro concejal y el anterior alcalde, en el ejercicio de sus respectivos cargos y como miembros del equipo de gobierno de la corporación municipal, por el que acordaban rescindir la relación de servicios que hasta la fecha prestaba para el Ayuntamiento como secretario-interventor don Mario Callejón Berenguel, que ha comparecido en este proceso de amparo, sin que quedara en cambio acreditado que dicho documento fuera una verdadera resolución administrativa y no un acuerdo político, ni siquiera que los acusados supieran que con dicho documento llevaran a cabo su efectivo cese o que fuera a producirse este sin cumplir el debido procedimiento, así como tampoco que fuera notificado 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el entonces alcalde, no recurrente en este procedimiento de amparo, en desarrollo de tal acuerdo, sin incoar expediente administrativo alguno, a sabiendas de que carecía de competencia para acordar el cese y de que el mismo no se ajustaba a la legalidad aplicable al secretario-interventor, procedió a dictar una resolución administrativa el día 1 de septiembre de 2011 por la que se acordaba proceder a la baja y revocación como secretario-interventor del ayuntamiento de don Mario Callejón Berenguel, resolución que le fue notificada como también a la Dirección General de la Función Pública de la Consejería de Gobernación y Justicia de la Junta de Andalucía. Con base en ella dejó de prestar servicios en aquella condición desde la fecha de la resolución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Juzgado de Instrucción núm. 1 de Huercal-Overa se incoó el procedimiento abreviado núm. 20-2014, por delito de prevaricación administrativa del artículo 404 del Código penal, cuyo enjuiciamiento correspondió al Juzgado de lo Penal núm. 2 de Almería (procedimiento abreviado núm. 33-2016), que en fecha 7 de diciembre de 2016 dictó sentencia en la que condenó al entonces Alcalde y absolvió a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ahora recurrentes señalaba la Sentencia que resultaba difícil sostener que el documento firmado, previo a la resolución formal de cese dictada por el Alcalde, tuviera naturaleza jurídica de resolución administrativa en sentido estricto, más cuando no constaba que fuera notificado al afectado, al que solo queda acreditada la notificación de la resolución de cese de 1 de septiembre de 2011. Se razonaba que el acuerdo de 24 de agosto de 2011 no llevaba ni el formato ni el sello del ayuntamiento, ni referencia a expediente administrativo alguno, ni tampoco la intervención de persona que actuara como secretario o fedatario, ni indicación de cuáles fueran las consecuencias jurídicas de tal acuerdo en cuanto a los trámites que debieran seguirse para dar efectividad a dicho cese. Por consiguiente, en opinión del juzgador, no cabía concluir que tal acuerdo de rescisión tuviera la naturaleza jurídica de resolución administrativa; más aún, añadía, vista la inmediatez con la que se dictó la sucesiva resolución de cese, directamente por el alcalde, apenas una semana después. No se daría, en suma, uno de los elementos configuradores del delito: que la autoridad o funcionario haya dictado una resolución administrativa ilegal o contraria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quedarían probados, se proseguía a renglón seguido, los elementos subjetivos del delito; en concreto, que los acusados fueran conscientes de adoptar, con aquel acuerdo de finales del mes de agosto, una resolución arbitraria a sabiendas de su injusticia, pues no podría inferirse con rotundidad que esa firma no fuera solo un respaldo político, una propuesta de cese que tuviera que seguir el procedimiento legalmente establecido, es decir, a través de la Dirección General de Administración Local de la Consejería de Gobernación de la Junta de Andalucía, como correspondía. A tal fin, para razonar a continuación la prevalencia del principio de presunción de inocencia, destacaba el juzgador los datos ya indicados más atrás, referidos a los perfiles del documento firmado y a la intervención unilateral del alcalde, que fue la que produjo verdaderos efectos jurídicos. Por consiguiente y al no existir prueba de ratificación por dichos acusados de tales actos, no podía darse por contrastado que sus voluntades confluyeran en la formación de la resolución injusta o arbitraria dictada, pues no había constancia de acta del pleno o de la junta de gobierno local en la que obraran tal ratificación.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anterior resolución fue recurrida en apelación por don Mario Callejón, solicitando que se “anule y revoque parcialmente la Sentencia apelada, en cuanto a la Absolución de Don Antonio Peñuela González y don Federico Molina Mora [el otro concejal acusado, no recurrente en este proceso constitucional], dictando otra en la que se resuelva la devolución de las actuaciones al órgano que dictó la Sentencia Apelada, con expresión de si la nulidad ha de extenderse al juicio oral y si el principio de imparcialidad exige una nueva composición del órgano de primera instancia en orden al nuevo enjuiciamiento de la causa”, alegando para fundamentar su pretensión la existencia de una errónea valoración de la prueba, ya que a su juicio de la misma se deducía que los acusados dictaron una resolución administrativa con conocimiento y a sabiendas de que con ella se llevaba a cabo el cese efectivo del secretario-interventor sin respetar el procedimiento legal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adhirió al recurso, señalando no obstante en su escrito que “el Acuerdo elaborado… cumple los requisitos necesarios para considerarse resolución administrativa por lo que procede la condena de los mismos”; esto es, de los tres concejales acusados, entre ellos los dos recurrentes en amparo, que expresamente citaba por sus nombres. Y especifica después que “no habiéndose solicitado la condena de Enrique Montalvo García en el recurso de Apelación interpuesto y habiendo participado el mismo en el mencionado Acuerdo, interesa que los efectos del recurso interpuesto, sean extensivos al mismo. Es por ello que interesa que tras los trámites oportunos se remita al órgano encargado de su resolución y se proceda a su confirmación”.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Almería dictó Sentencia el día 21 de abril de 2017. En el apartado de hechos probados procede a una modificación del relato histórico del que resulta que el acuerdo de 24 de agosto de 2011 se adoptó “a sabiendas que con él llevaban a cabo el cese efectivo del secretario-interventor Mario Callejón Berenguel sin respetar el procedimiento legalmente establecido y conociendo que carecían de competencia para ello”, suprimiendo en coherencia con lo anterior el párrafo de los hechos probados de la sentencia de instancia que, por su parte, declaraba que “(n)o ha quedado acreditado que el documento de 24 de agosto de 2011, elaborado por los acusados… fuera una verdadera resolución administrativa del Ayuntamiento de Partaloa y no un acuerdo político y ni que éstos lo elaboraran con conocimiento y a sabiendas que con él llevaban a cabo el cese efectivo del secretario-interventor… o que dicho cese fuese a realizarse sin respetar el procedimiento legalmente establecido, no constando que dicho acuerdo fuera notificado en legal forma a Mario Callejón”. Considera seguidamente la Sala, en el fundamento de Derecho segundo de su sentencia, que el recurso de apelación por adhesión del Fiscal es autónomo del formulado por la acusación particular, que podía por ello alegar en él los motivos que estimara; entre ellos, se incluyó una petición de condena a los ahora demandantes de amparo. Partiendo de esa delimitación de las pretensiones y entrando en el examen de fondo, tras entender que el acuerdo de finales de agosto era una resolución administrativa y que estuvo en el ánimo de los acusados absueltos poner fin a la relación de servicios del secretario-interventor sin respetar el procedimiento legal y careciendo de competencias para ello, estimó la Sala el recurso y condenó a los acusados por delito de prevaricación administrativa. Razonaba, con cita de jurisprudencia constitucional, que cuando la apelación se plantea contra una sentencia absolutoria, y el motivo de la apelación versa sobre cuestiones de hecho suscitadas por la valoración o ponderación de pruebas personales de las que dependa la condena o absolución del acusado, resulta necesaria la celebración de vista pública en segunda instancia para que el órgano judicial de apelación pueda resolver tomando un conocimiento directo e inmediato de dichas pruebas, no siendo tal práctica precisa, sin embargo, en aquellos supuestos en los que el núcleo de la discrepancia entre la sentencia absolutoria y la condenatoria es una cuestión estrictamente jurídica sobre la base de unos hechos que la Sentencia de instancia también considera acreditados o cuando se trata de la apreciación valorativa de prueba documental; en esos supuestos, el Tribunal ad quem sí puede llegar a un conclusión distinta. Justamente, se afirmaba, lo que ocurría en el caso de autos, en el que el cambio de criterio frente al mantenido en la instancia quedaría apoyado en el tenor literal del acuerdo de agosto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ese fundamento y cita de una Sentencia del Tribunal Supremo sobre el concepto de resolución administrativa, declaró que el acuerdo controvertido no era un acto político o de gobierno, sino una resolución o acto administrativo que contenía una declaración de voluntad de valor decisorio que afectaba a derechos de los administrados y/o de la colectividad, respondiendo a una vocación clara de rescindir, revocar y poner fin a la relación de servicios que prestaba el secretario-interventor. Así se desprendería del texto literal del acuerdo, que decía: “hemos adoptado el acuerdo de rescindir la relación de servicios”. Un acto, en fin, continuaba el pronunciamiento, contradictorio con el Derecho de forma patente y grosera, que desborda la legalidad de un modo evidente y clamoroso y supone un ejercicio arbitrario del poder que desvela una mera voluntad convertida irrazonablemente en aparente fuente de normatividad, resaltando particularmente, con fórmula de interrogante, cómo podría en otro caso comprenderse que el acuerdo fijara incluso la fecha de efectos de lo firmado, que solo días después el alcalde dictara una resolución de cese que comunicó a los organismos competentes o que uno de los condenados ahora recurrentes, el señor Peñuela, participara en el pleno que se celebró el día 20 de abril de 2011 y en el que el alcalde hizo referencia y dio cuenta del régimen en el que se encontraba el secretario-interventor y su condición de funcionario de habilitación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Aludiendo a dicha documental, así interpretada, la Sentencia de apelación procedió a revocar la de instancia y a condenar a los acusados como autores de un delito de prevaricación administrativa en grado de consumación, con la concurrencia de la atenuante simple de dilaciones indebidas, a la pena de inhabilitación especial para empleo o cargo público por tiempo de siete años, además del pago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se interpuso incidente de nulidad de actuaciones alegando falta de motivación e incongruencia lesivas del artículo 24.1 CE, por entender que el fallo de la sentencia excedía lo solicitado en el recurso de la acusación particular, que únicamente pretendía la anulación de la sentencia de instancia y la devolución de las actuaciones al Juzgado de lo Penal, no la condena de los acusados. Asimismo, por vulneración del artículo 24.2 CE, al haberse modificado en apelación los hechos probados y revisado la inferencia del juzgador a quo, causando indefensión y lesionando el derecho a un proceso con todas las garantías por falta de inmediación en la revisión de las pruebas, suprimiendo y añadiendo hechos probados relativos a los elementos subjetivos del tipo penal, y vulnerando también el derecho a la presunción de inocencia, al no existir motivación de la prueba de cargo e inferirse el dolo directo de los acusados prescindiendo de todas las pruebas personales e indicios que el juzgador de instancia había valorado y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fue desestimado por Auto de 19 de julio de 2017, en el que se razona que el Ministerio Fiscal interesó la condena de los acusados, que el recurso de apelación por adhesión es autónomo del articulado por la acusación particular y que en la sentencia fue expuesta la doctrina del Tribunal Supremo y del Tribunal Constitucional sobre la posibilidad de condenar en segunda instancia a quien había sido absuelto en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Antonio Peñuela González y don Enrique Montalvo García interponen demanda de amparo contra la Sentencia de fecha 21 de abril de 2017, dictada por la Sección Segunda de la Audiencia Provincial de Almería, y contra el Auto del mismo órgano judicial, de 19 de julio de 201 7, resolutorio del incidente de nulidad de actuaciones. Estiman que se habría vulnerado, de un lado, el derecho a la tutela judicial efectiva (art. 24.1 CE), porque la Sentencia de apelación procede a la condena de los recurrentes cuando la acusación particular solo solicitaba que se anulase la resolución de instancia con devolución de las actuaciones, incurriéndose en incongruencia extra petitum y en arbitrariedad; y, de otro, los derechos a un proceso con todas las garantías y a la presunción de inocencia (art. 24.2 CE), al incumplirse la doctrina constitucional sobre las garantías en las condenas en segunda instancia y desconocerse que el juzgador a quo tuvo en cuenta una variada y abundante prueba personal, como las declaraciones de los acusados y de diversos testigos, que la Sala desatendió y sustituyó por una valoración distinta sin práctica de prueba en su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18 de diciembre de 2017, la Sección Cuarta de este Tribunal acordó admitir a trámite el recurso de amparo, apreciando que en el mismo concurre una especial trascendencia constitucional porque puede dar ocasión al Tribunal para aclarar o cambiar su doctrina, como consecuencia de un proceso de reflexión interna [STC 155/2009, FJ 2, b)]. En aplicación de lo dispuesto en el artículo 51 LOTC, se ordenó dirigir atenta comunicación a la Sección Segunda de la Audiencia Provincial de Almería y al Juzgado de lo Penal núm. 2 de Almería para que remitieran las actuaciones correspondientes (apelación recurso núm. 217-2017 y procedimiento abreviado núm. 33-2016, respectivamente), y al último citado para que procediera a emplazar a quienes hubieran sido parte en el procedimiento, excepto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Compareció el Procurador don Pablo Trujillo Castellano en nombre y representación de don Mario Callejón Berenguel, mediante escrito registrado en este Tribunal el día 9 de enero de 2018. Por medio de diligencia de ordenación de 6 de febrero de 2018 se acordó tenerle por personado en la representación que ostenta y dar vista de las actuaciones recibidas a las partes personadas y al Ministerio Fiscal, por plazo común de 20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8 de marzo de 2018 presentó sus alegaciones la representación de don Mario Callejón Berenguel. Tras poner de manifiesto que el Ministerio Fiscal solicitó en su escrito de adhesión al recurso la condena de los acusados, sin que existiera por ello error o incongruencia extra petitum en la sentencia impugnada, añade que, como razonara la Audiencia Provincial, el fundamento de la resolución judicial residió en la prueba documental, sin que existiera entonces una desviación de la doctrina constitucional relativa a las condenas en segunda instancia. A su parecer, en resumida síntesis, la Sentencia de apelación despejó la cuestión jurídica relativa al concepto de resolución administrativa, calificando con base en jurisprudencia que cita la naturaleza jurídica del acuerdo de agosto de 2011, sin emplear en ello nada que no fueran los términos literales del propio acuerdo y sin valorar pruebas de carácter personal, siendo la conclusión alcanzada sobre los elementos subjetivos del tipo penal la mera consecuencia de la respuesta del pronunciamiento sobre la naturaleza del citado documento. Por consiguiente, no cabe apreciar ni la lesión del derecho a un proceso con todas las garantías ni la vulneración del derecho fundamental a la presunción de inocencia (art. 24.2 CE), al existir prueba de cargo válida para sustentar la condena que fue dictada, podrían a su criterio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interesó el otorgamiento del amparo por escrito registrado en este Tribunal el día 13 de marzo de 2018. Se opone a la estimación del primer motivo del recurso, articulado al amparo de los artículos 24.1 y 24.2 CE, por existencia de error sobre la petición de condena y consiguiente incongruencia de la Sentencia de apelación recurrida, toda vez que el escrito de adhesión al recurso de apelación interpretado en su conjunto permite llegar a la conclusión que alcanzó la Sentencia. Con relación a las quejas restantes postula que “aunque la Audiencia Provincial manifieste que solo basa la modificación de hechos probados en la prueba documental mencionada, lo cierto es que con el mencionado añadido, introduce el examen de los hechos que constituyen la base del elemento subjetivo del delito: el conocimiento de que se está dictando una resolución arbitraria a sabiendas de su injusticia, y que … la actual doctrina del Tribunal Constitucional (por todas la STC 125/2017) dice que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 En suma, la Audiencia Provincial, para modificar los hechos probados, añadiendo que los acusados absueltos tenían conocimiento de la ilicitud de su acto, hizo una nueva valoración del elemento subjetivo del delito, lo que hacía necesaria la audiencia, que no se dio, vulnerando por ese concreto motivo el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cambio que no se vulneró el derecho a la presunción de inocencia, al no existir impugnación por ilicitud de las pruebas documentales en las que se fundó la condena y por reconducirse el recurso de amparo a la necesidad de inmediación para valorar las pruebas. Y concluye solicitando que se aprecie la lesión del derecho a un proceso con todas las garantía y del derecho de defensa (art. 24.2 CE), por infracción de la garantía de audiencia personal en segunda instancia, con la consiguiente nulidad de las resoluciones impugnadas y retroacción de las actuaciones para que se ofrezca a los demandantes la posibilidad de ser oídos en los términos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en amparo no evacuaron el trámite de alegaciones, según deja constancia la Secretaría de Justicia en diligencia de 14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mayo de 2018 se señaló para deliberación y votación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por vulneración de los artículos 24.1 y 24.2 CE, contra la Sentencia de 21 de abril de 2017, dictada en el recurso de apelación núm. 217-2017 por la Audiencia Provincial de Almería, Sección Segunda, así como contra el Auto de la misma de 19 de julio de 2017, desestimatorio del sucesivo incidente de nulidad de actuaciones. En aquella, en procedimiento por delito de prevaricación administrativa, se impuso a los ahora demandantes la pena de inhabilitación especial para empleo o cargo público por tiempo de siete años, además del pago de las costas procesales, tras haber sido inicialmente absueltos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argumentan que la sentencia de apelación procede a su condena pese a que la acusación particular solo solicitaba que se anulase la resolución de instancia con devolución de las actuaciones, que se ha incumplido la doctrina constitucional sobre la garantía de la inmediación en la valoración de las pruebas y el derecho de defensa en segunda instancia. Asimismo, se ha infringido el derecho a la presunción de inocencia (art. 24.2 CE), toda vez que el juzgador a quo tuvo en cuenta una variada y abundante prueba personal, como las declaraciones de los acusados y de diversos testigos, que la Sala desatendió efectuando una valoración distinta sin práctica de prueba y en contra de lo dispuesto por la doctrina de este Tribunal sobre la valoración de pruebas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tal y como ha quedado expuesto en los antecedentes, solicita que se otorgue parcialmente el amparo y que se anule la sentencia de apelación y el posterior auto, por haberse visto vulnerado el derecho a un proceso con todas las garantía y el derecho defensa de los demandantes (art. 24.2 CE), por infracción de la garantía de audiencia personal en la segunda instancia, al haber sido condenados por un tribunal que no les había oído, rechazando el fundamento de las restantes lesiones invocadas en el recurso. Por su parte, la representación de don Mario Callejón Berenguel interesa la desestimación del recurso, con las bases argumentales que fueron recogidas en los antecedentes de esta resolución, señaladamente porque hubo petición de condena en la apelación por adhesión del Fiscal y porque la resolución del proceso gravitó alrededor de prueba de carácter exclusivamente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estimarse, como postulan el Ministerio Fiscal y la representación de don Mario Callejón Berenguel, que era posible apreciar una petición de condena en el escrito de adhesión al recurso de apelación presentado por el Fiscal, toda vez que a este proceso no le era aplicable la reforma del artículo 792.2 de la Ley de enjuiciamiento civil operada por la Ley 41/2015, de 5 de octubre. La Audiencia Provincial, en la Sentencia de 21 de abril de 2017 y señaladamente en el Auto resolutorio del incidente de nulidad de actuaciones, admitió que la acusación particular no solicitaba condena en apelación, sino solo la declaración de nulidad de la inicial sentencia absolutoria, pero justifica razonadamente que sí la formuló en su escrito el Fiscal y que podía hacerlo alegando autónomamente los motivos que considerara oportunos. Y es lo cierto que, conforme a lo transcrito en el apartado de antecedentes de este pronunciamiento, el Fiscal solicitó “la condena” de los ahora recurrentes, que citaba expresamente en su escrito, interesando en ese sentido la extensión de los efectos del recurso a don Enrique Montalvo García, por haber participado como los restantes implicados en el acuerdo controvertido, aunque contra él no se hubiera dirigido el apelante principal. Una conclusión alcanzada por la Audiencia Provincial de Almería y deducida del tenor del escrito de adhesión a la apelación que no solo es viable en atención a sus términos sino que además resulta la más natural de conformidad con sus contenidos literales, sin que la queja formulada pueda entonces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análisis de las restantes vulneraciones, los demandantes de amparo manifiestan la infracción de su derecho a un proceso con todas las garantías y a la presunción de inocencia (art. 24.2 CE), por desconocer que el juzgador a quo tuvo en cuenta una variada y abundante prueba personal, como las declaraciones de los acusados y de diversos testigos, que la Sala desatendió y sustituyó por una valoración distinta sin audiencia de los acusados, en contra de lo dispuesto por la doctrina de este Tribunal sobre las pruebas personales y su valoración con inmediación del órgano revisor.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conveniente comenzar en este punto efectuando una sintética exposición de la evolución de la doctrina constitucional relativa al derecho a un proceso con todas las garantías y al derecho de defensa (art. 24.2 CE), vinculada a las condenas o a la agravación de las mismas en vía de recurso. A tal fin es oportuno sintetizar la doctrina constitucional efectuada en la STC 146/2017, FFJJ 6 y 7, que recordaba que el derecho a un proceso con todas las garantías ha sido objeto de un detenido y extenso análisis en numerosas sentencias, inspiradas en la doctrina del Tribunal Europeo de Derechos Humanos (entre otras, SSTEDH de 26 de mayo de 1988, asunto Ekbatani c. Suecia, o de 27 de junio de 2000, asunto Constantinescu c. Rumania). Así y por ejemplo, en la STC 167/2002, de 18 de diciembre, FFJJ 9 a 11, el pleno de este Tribunal Constitucional señaló que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entonces se ha consolidado una doctrina constitucional, reiterada en numerosas resoluciones (por ejemplo, SSTC 126/2012, de 18 de junio, FJ 2; 22/2013, de 31 de enero, FJ 4, y 43/2013, de 25 de febrero, FJ 5), según la cual resulta contrario a un proceso con todas las garantías que un órgano judicial, conociendo a través de recurso, condene a quien había sido absuelto en la instancia o empeore su situación como consecuencia de una nueva fijación de los hechos probados que encuentre su origen en la reconsideración de pruebas cuya correcta y adecuada apreciación exija necesariamente que se practiquen en presencia del órgano judicial que las valora —como es el caso de las declaraciones de testigos, peritos y acusados (así, entre otras, SSTC 197/2002, de 28 de octubre, FJ 4, o 1/2010, de 11 de enero, FJ 3)—, sin haber celebrado una vista pública en que se haya desarrollado con todas las garantías dicha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aplicación de esta doctrina constitucional, también se ha declarado que no cabrá efectuar ese reproche constitucional cuando la condena pronunciada en apelación o la agravación de la situación, a pesar de no haberse celebrado vista pública, tenga origen en una alteración fáctica que no resulta del análisis de medios probatorios que exijan presenciar su práctica para su valoración —como es el caso de pruebas documentales (así, SSTC 272/2005, de 24 de octubre, FJ 5, o 153/2011, de 17 de octubre, FJ 4), o de pruebas periciales documentadas (así, SSTC 143/2005, de 6 de junio, FJ 6, o 142/2011, de 26 de septiembre, FJ 3)—; o, también, cuando dicha alteración fáctica se derive de discrepancias con la valoración de pruebas indiciarias, de modo que el órgano judicial revisor se limite a rectificar la inferencia realizada por el de instancia, a partir de unos hechos que resultan acreditados en ésta, argumentando que este proceso deductivo, en la medida en que se basa en reglas de experiencia no dependientes de la inmediación, es plenamente fiscalizable por los órganos que conocen del recurso sin merma de garantías constitucionales (así, SSTC 43/2007, de 26 de febrero, FJ 6, o 91/2009, de 20 de abril, FJ 4). Por último, también se descarta una vulneración del derecho a un proceso con todas las garantías cuando la condena o agravación en vía de recurso, aun no habiéndose celebrado vista pública, no derive de una alteración del sustrato fáctico sobre el que se asienta la sentencia de instancia sino sobre cuestiones estrictamente jurídicas (así, SSTC 143/2005, de 6 de junio, FJ 6, o 2/2013, de 14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y centrándose en la cuestión de la acreditación de los elementos subjetivos del delito —que serán como se dirá decisivos para la resolución del presente caso— se vino considerando, también en proyección de la doctrina de la STC 167/2002, que, desde la perspectiva de la exigencia de inmediación, el elemento determinante para concluir la eventual vulneración del derecho a un proceso con todas las garantías reside en verificar si el razonamiento judicial sobre la concurrencia de ese elemento subjetivo por el órgano judicial de segunda instancia se fundamenta en elementos de prueba que exijan inmediación (por todas, SSTC 127/2010, de 29 de noviembre, FFJJ 3 y 4, o 126/2012, de 18 de junio, FJ 3). O, por el contrario, se vincula con pruebas que no tengan carácter personal (así, STC 137/2007, de 4 de junio, FJ 3) o sobre la base de un control de la razonabilidad de la inferencia llevada a cabo en instancia, a partir de unos hechos base que se dan por acreditados. En este último caso, la citada Sentencia 167/2002 argumenta que se trata de una cuestión de estricta valoración jurídica que no exige la reproducción del debate público y la inmediación (además y entre otras, SSTC 328/2006, de 20 de noviembre FJ 3, o 184/2009,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indicadas garantías del acusado en la segunda instancia fueron ampliadas a consecuencia de los diversos pronunciamientos del Tribunal Europeo de Derechos Humanos. Y en lo referente a la acreditación de los elementos subjetivos del delito, este Tribunal, perfilando el criterio de la STC 184/2009, afirmó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(STC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ampliación era el corolario de la recepción, entre otras muchas, de las SSTEDH de 10 de marzo de 2009, asunto Igual Coll c. España, § 27; 21 de septiembre de 2010, asunto Marcos Barrios c. España, § 32; 16 de noviembre de 2010, asunto García Hernández c. España, § 25; 25 de octubre de 2011, asunto Almenara Álvarez c. España, § 39; 22 de noviembre de 2011, asunto Lacadena Calero c. España, § 38. A las que siguieron con posterioridad las SSTEDH de 27 de noviembre de 2012, asunto Vilanova Goterris y Llop García c. España, y de 13 de junio de 2017, asunto Atutxa Mendiola y otros c. España (§§ 41 a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resolución del Tribunal de Estrasburgo merece una especial referencia. En ella se constata que el Tribunal Supremo, pese a que reprodujo los hechos que habían sido considerados probados en la Sentencia absolutoria dictada por el Tribunal Superior de Justicia del País Vasco, efectúa una nueva valoración de los distintos elementos de prueba que ya habían sido examinados por el órgano de instancia: por una parte, medios de carácter documental y, por otra, testimonios propuestos tanto por la parte acusadora como por los demandantes, así como las declaraciones de estos últimos. Y concluyó que los acusados se habían negado “de manera consciente y deliberada” a acatar la resolución del propio Tribunal Supremo. La STEDH consideró que el Tribunal Supremo procedió a una nueva valoración de las pruebas sin haber tenido un contacto directo con las partes y, sobre todo, sin haber permitido que estas últimas expusieran sus argumentos en respuesta a las conclusiones expuestas. Finalmente, el Tribunal Europeo razonó que el Tribunal Supremo, para llegar a esa distinta interpretación jurídica del comportamiento de los demandantes, se pronunció sobre circunstancias subjetivas que conciernen a los interesados; a saber, que eran conscientes de la ilegalidad de sus actos. La Sentencia entendió que ese elemento subjetivo resultó decisivo en la determinación de la culpabilidad de los demandantes, pues el Tribunal Supremo sí que entendió que hubo intencionalidad por parte de los demandantes sin valorar directamente su testimonio, dato que contradice las conclusiones de la instancia que sí había oído a los acusados y a otros testigos (§§ 41 y 42). El Tribunal Europeo de Derechos Humanos indicó que las cuestiones que debían ser examinadas por el Tribunal Supremo requerían la valoración directa del testimonio de los demandantes. Y habida cuenta de todas las circunstancias del proceso, concluyó que los demandantes fueron privados de su derecho a defenderse en el marco de un debate contradictorio, estimando en consecuencia, violación del derecho a un proceso equitativo garantizado por el artículo 6.1 del Convenio (§§ 45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los criterios expuestos al presente caso permite apreciar la existencia de una vulneración del derecho a un proceso con todas las garantías y del derecho de defensa (art. 24.2 CE) en razón de la estimación realizada de la concurrencia del elemento subjetivo en la sentencia recurrida: ánimo de los acusados de poner fin con su acuerdo de agosto a la relación de servicios del secretario-interventor sin respetar el procedimiento legalmente establecido y conociendo que carecían de competencia para ello. A esa convicción sobre el particular, en efecto, llegó la Audiencia Provincial en contra de lo que declaró el juzgador a quo. Razonaba la Sala: “Entendemos que dicho ánimo estuvo presente y se desprende sin género de dudas de la sola lectura del acuerdo en cuestión. Es tan clara y patente la voluntad de cesar al secretario interventor, que así se expresa en el acuerdo, ‘hemos adoptado el acuerdo de rescindir la relación de servicios que hasta la fecha prestaba para el Ayuntamiento de Partaloa con efectividad desde el 31 de agosto de 2011’, que no podemos llegar a conclusión distinta”. Más tarde, tras indicar que la contradicción con el Derecho del acuerdo adoptado era patente y grosera y que no podía acogerse la tesis de que los concejales tuvieran la sola intención de respaldar políticamente el cese, proponerlo por el procedimiento legal o trasladar su malestar sobre el estado del Ayuntamiento, añadía que los acusados “conocían y querían el cese inmediato del secretario interventor”, esto es, que concurría el elemento subjetivo del dolo, resultado que se dice alcanzar con base en el acuerdo en cuestión y a la participación de dos de los concejales acusados en un Pleno donde el alcalde hizo referencia al régimen jurídico rector de la relación del secretario-interventor y su condición de funcionario de habilitación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objeción, ni siquiera impugnación fundada en la exigencia de inmediación sobre la apreciación realizada por la Audiencia Provincial en cuanto al elemento normativo de la naturaleza jurídica del acuerdo (resolución administrativa ilegal, según la ha calificado la Sentencia recurrida). No obstante, cuando el órgano judicial efectúa la inferencia de la intención o ánimo que tenían los recurrentes de llevar a cabo la conducta de naturaleza antijurídica, alcanzando en este punto sus conclusiones sin ponderar las declaraciones personales evacuadas por los acusados en la instancia, se introdujo, sin cumplir las garantías constitucionales en la revisión, en una realidad jurídico penal intrínsecamente vinculada con elementos subjetivos del delito. Lo hizo sin atender a sus testimonios y sin vista pública para que fueran oídos. Y sobre la base de un razonamiento deductivo de los términos del acuerdo de agosto de 2011, tras modificar los hechos probados y considerar a aquél una resolución administrativa, se afirma adicionalmente que concurría el dolo en la acción enjuiciada, revocando la previa absolución sin cumplir la exigencia de la audiencia personal del acusado como garantía específica vinculada al artículo 24.2 CE, pese a que el núcleo de lo debatido afectaba con carácter general a la declaración de inocencia o culpabilidad. En otras palabras, no versaba en ese punto sobre estrictas cuestiones jurídicas sino sobre un parámetro de índole anímica o interna —la voluntad de llevar a cabo la acción a sabiendas de su ilicitud— determinante de la culpabilidad o de la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reconsideración de los hechos estimados probados en primera instancia no se limitó, si se prefiere expresarlo en otros términos, a una mera discrepancia jurídica; se extendió, antes bien, sobre la apreciación del ánimo de consumar la conducta ilícita. Y el órgano judicial afirmó que hubo intencionalidad de dictar un acuerdo ilícito de cese por parte de los demandantes, sin valorar directamente su testimonio y contradiciendo las apreciaciones del juzgador a quo que sí había oído a los acusados y a otros testigos. Siendo subjetivo ese elemento del delito a debate, conforme a la doctrina ya recogida, resultaba obligada la valoración directa de la versión de los demandantes, habida cuenta de que su objeto consiste en posibilitar que quien ha sido absuelto en primera instancia pueda exponer, ante el Tribunal llamado a revisar la decisión impugnada, su testimonio personal sobre su participación en los hechos que se le imputan (en relación con ello, entre otras, SSTEDH de 10 de marzo de 2009, caso Igual Coll c. España, § 27; 21 de septiembre de 2010, caso Marcos Barrios c. España, § 32; 13 de diciembre de 2011, caso Valbuena Redondo c. España, § 29; 20 de marzo de 2012, caso Serrano Contreras c. España, § 31; y, con posterioridad, STEDH de 27 de noviembre de 2012, caso Vilanova Goterris y Llop García c. España). Es esta una garantía, por tanto, que no se ha satisfecho en el presente caso en lo referente al elemento subjetivo del dolo, al relacionarse tanto en el debate procesal, como en el tipo penal aplicado con el ánimo de actuar con plena conciencia y voluntad deliberada e inequívoca contra el ordenamiento jurídico, a sabiendas de la ilicitud de la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debe considerarse producida la vulneración de los derechos a un proceso con todas las garantías y a la defensa, proclamados por el art. 24.2 CE (STC 88/2013, de 11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ya se ha expuesto anteriormente, ha quedado acreditado, en primer lugar, que la absolución en la primera instancia del delito de prevaricación administrativa del que eran acusados los recurrentes se fundamentó en que no quedaban probados elementos objetivos y subjetivos del delito. Igualmente, que en el grado jurisdiccional de apelación se procedió a su condena, tras modificarse la declaración de hechos probados de la Sentencia de instancia y realizarse otra valoración de la concurrencia de los elementos objetivos y subjetivos del delito, sin celebración de vista pública, argumentándose que el acuerdo de agosto de 2011 era una resolución administrativa ilegal o contraria a Derecho y que existía dolo en la acción de los recurrentes en amparo. En atención a lo expuesto en el fundamento anterior, y tal como también ha solicitado el Ministerio Fiscal, hemos declarado vulnerado el derecho de los recurrentes a un proceso con todas las garantías (art. 24.2 CE), toda vez que han sido condenados en segunda instancia sin que se les hubiera dado la posibilidad efectiva de dirigirse personalmente ante el órgano judicial de apelación para exponer su versión personal sobre su participación en los hechos que se les imputaban y en virtud de una actividad probatoria en cuyo acervo concurrían pruebas personales que no han sido practicadas ante el órgano judicial de apelación con respeto a las garantías de publicidad,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además, han alegado que su condena en estas circunstancias ha supuesto una vulneración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en relación con el derecho a la presunción de inocencia, que se configura como el derecho a no ser condenado sin prueba de cargo válida, lo que determina que sólo quepa considerar vulnerado este derecho cuando los órganos judiciales hayan sustentado la condena valorando una actividad probatoria lesiva de otros derechos fundamentales o carente de garantías, o cuando no se motive el resultado de dicha valoración, o cuando por ilógico o insuficiente no sea razonable el iter discursivo que conduce de la prueba al hecho probado (por todas, STC 16/2012, de 13 de febrero, FJ 3). Igualmente también se ha puesto de manifiesto que el control que le corresponde realizar a este Tribunal sobre la eventual vulneración de este derecho se extiende a verificar si se ha dejado de someter a valoración la versión o la prueba de descargo aportada, exigiéndose ponderar los distintos elementos probatorios (así, STC 104/2011,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señalara el Pleno de este Tribunal en la STC 88/2013, de 11 de abril, FJ 12, y reiterara la STC 125/2017, de 13 de noviembre, FJ 9, “tomando en consideración el contenido del derecho a la presunción de inocencia y la proyección que sobre el mismo puede tener la previa lesión del derecho a un proceso con todas las garantías por una condena en segunda instancia, debe concluirse que, con carácter general, la lesión del derecho a un proceso con todas las garantías —esté vinculado con la valoración de pruebas practicadas sin las debidas garantías o con no haberse dado al acusado la posibilidad de ser oído—, no necesariamente tiene una repercusión inmediata en la vulneración del derecho a la presunción de inocencia. De ese modo, la vulneración del derecho a un proceso con todas las garantías puede llegar a determinar la anulación de la Sentencia condenatoria y la retroacción de actuaciones para que el órgano judicial dicte una nueva resolución respetuosa con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como sigue argumentado la citada Sentencia, “cuando quede plenamente acreditado con la lectura de las resoluciones judiciales que la condena se ha basado de manera exclusiva o esencial en la valoración o reconsideración de pruebas practicadas sin las debidas garantías, también deberá estimarse vulnerado el derecho a la presunción de inocencia, ya que en tales casos el efecto de exclusión de la valoración judicial de dichas pruebas pondría ya de manifiesto que la inferencia sobre la conclusión condenatoria sería ilógica o no concluyente, consumando de esa manera la lesión del derecho a la presunción de inocencia. De ese modo, en tales casos la vulneración consecutiva de los derechos a un proceso con todas las garantías y a la presunción de inocencia determinaría la anulación de la Sentencia condenatoria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conclusión idéntica debe llegarse cuando la parte esencial de la actividad probatoria sobre los elementos subjetivos del delito de que se trate —como ocurre en el presente caso con el ánimo de llevar a cabo la conducta antijurídica a través del dictado de una resolución administrativa ilícita o contraria a Derecho a sabiendas de su ilicitud— no haya sido objeto de consideración por el órgano judicial de revisión con las debidas garantías, dado que, como en esta ocasión acontece, la concurrencia de dicho elemento subjetivo solo podría ser inferida por el órgano judicial de segunda instancia tras escuchar el testimonio de los acusados con publicidad, inmediación y contradicción, pues la ponderación de dichos testimonios es absolutamente esencial para poder inferir de manera concluyente la culpabilidad de los acusados y, muy especialmente, la de su testimonio exculpatorio, habida cuenta de la ya señalada obligación derivada del derecho a la presunción de inocencia de someter a valoración la versión o la prueba de descargo aportada por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condena en segunda instancia, en la medida en que ha dejado de someter a valoración el testimonio exculpatorio de los acusados, practicado a presencia del órgano judicial que condenó, ha vulnerado también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declaración de que se ha vulnerado a los recurrentes su derechos a un proceso con todas las garantías (art. 24.2 CE) y a la presunción de inocencia (art. 24.2 CE) determina la anulación de la resolución judicial impugnada y la del Auto desestimatorio del incidente de nulidad de actuaciones en tanto que no reparó dichas vulneraciones.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Peñuela González y don Enrique Montalvo García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sus derechos a un proceso con todas las garantías (art. 24.2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21 de abril de 2017, dictada en el recurso de apelación núm. 217-2017 por la Audiencia Provincial de Almería, Sección Segunda, así como del Auto de la misma de 19 de julio de 2017, desestimatorio del sucesivo incidente de nulidad de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