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4541-2010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Gobierno de Navarra, en el recurso de inconstitucionalidad núm. 4541-2010,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 de junio de 2010, el asesor jurídico-letrado de la Comunidad Foral de Navarra, en representación del Gobierno de Navarra, interpuso recurso de inconstitucionalidad contra el párrafo segundo de la disposición final quinta, el art. 14 en relación con el 17 y el art. 19.2 de la Ley Orgánica 2/2010, de 3 de marzo, de salud sexual y reproductiva y de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junio de 2010 el Pleno del Tribunal, a propuesta de la Sección Segunda, acordó admitir a trámite el recurso de inconstitucionalidad, que fue registrado con el núm. 4541-2010.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11 de abril de 2016 la representación procesal del Gobierno de Navarra formula solicitud de desistimiento parcial del presente recurso de inconstitucionalidad respecto del art. 14 en relación con el 17 y el art. 19.2 de la Ley Orgánica 2/2010. Por providencia de 13 de abril de 2016 el Pleno acordó incorporar a los autos el escrito presentado y oír al abogado del Estado para que, en el plazo de diez días, alegase lo que estimase procedente en relación con la solicitud de desistimiento parcial. El abogado del Estado cumplimentó el trámite conferido mediante escrito que tuvo entrada en el registro del Tribunal el día 27 de abril de 2016, en el que se opone al desistimiento parcial formulado por el Gobierno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febrero de 2019 se registra en el Tribunal un escrito del asesor jurídico-letrado de la Comunidad Foral de Navarra en el que, debidamente autorizado para ello por el acuerdo adoptado al efecto por el Gobierno de Navarra, formula solicitud de desistimiento total del presente recurso de inconstitucionalidad, por las razones que se exponen en el mencionado acuerdo. En el mismo se alude a la anterior solicitud de desistimiento parcial y se considera solventada la discrepancia competencial planteada respecto a la disposición final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Pleno de 26 de febrero de 2019 se acuerda incorporar a los autos el escrito que presenta el asesor jurídico-letrado de la Comunidad Foral de Navarra y oír al abogado del Estado para que, en el plazo de diez días, alegue lo que estime procedente en relación con la solicitud de desistimiento del presente procedimiento formulada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registrado el 12 de marzo de 2019, suplica al Tribunal que se le tenga por no opuesto al desistimiento total solicitado por el Gobierno de Navarra.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20.2 y 3 LEC), que puede ser parcial, cuando afecta a alguna de las pretensiones en caso de pluralidad del objeto, y total, cuando se refiere a todas o a la única pretensión deducida en el proceso (SSTC 96/1990, de 24 de mayo, FJ 1, y 237/1992, de 15 de diciembre; AATC 33/1993, de 26 de enero, 173/1997, de 20 de mayo, 79/2008, de 11 de marzo, y 288/2013, de 17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 los citados preceptos puede estimarse como forma admitida para poner fin a un recurso de inconstitucionalidad, total o parcialmente, la manifestación de la voluntad de desistir, siempre que, según reiterada doctrina de este Tribunal, no se advierta interés constitucional que justifique la prosecución del proceso hasta su finalización por sentencia (AATC 34/1993, de 26 de enero; 30/2006, de 1 de febrero; 79/2008, de 11 de marzo; 288/2013, de 17 de diciembre; 186/2014, de 15 de julio, y 223/2015,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negado la posibilidad de que en los recursos de inconstitucionalidad opere sin más “el principio dispositivo y no queda pues vinculado el Tribunal por la voluntad unilateral de quien lo formula”, si bien ha indicado que “tampoco es dudoso que este como titular del interés cuya actuación sirve de soporte a su legitimación activa en el proceso, ha de ser atendido salvo que otras consideraciones prevalentes lo impidan” (STC 237/1992, de 15 de diciembre, FJ 1). Para aceptar o no el desistimiento planteado han de tenerse en cuenta todas las circunstancias que concurren en el caso, pero, singularmente, la conformidad o la oposición de los demás personados en el proceso (STC 96/1990, de 24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indicó en los antecedentes, mediante sendos escritos de 11 de abril de 2016 y 13 de febrero de 2019 el gobierno de Navarra ha formulado en el presente proceso dos solicitudes de desistimiento parcial que, conjuntamente, suponen un desistimiento total del recurso de inconstitucionalidad promovido frente a la Ley Orgánica 2/2010, de 3 de marzo, de salud sexual y reproductiva y de la interrupción del embarazo. El primer desistimiento se refirió a la impugnación por motivos sustantivos de los arts. 14, 17 y 19.2 de la Ley Orgánica 2/2010, y el segundo a la impugnación por motivos competenciales del párrafo segundo de la disposición final quinta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si bien se opuso inicialmente al primer desistimiento parcial, en su escrito de 12 de marzo de 2019 suplica que se le tenga por no opuesto al desistimiento total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al primer desistimiento parcial de 2016, este Tribunal no ve necesario considerar si concurre un interés constitucional que justifique la prosecución del proceso, habida cuenta de que la misma Ley ha sido objeto también del recurso de inconstitucionalidad que se tramita con el núm. 4523-2010, planteado por más de cincuenta diputados del grupo parlamentario popular del Congreso de los Diputados, en el que, con la única excepción de la disposición final quinta, se impugnan, entre otros, los mismos preceptos que en el interpuesto por el gobierno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 respecto al segundo desistimiento parcial de 2019, a la vista del precepto impugnado, este Tribunal debe excluir también que exista un interés constitucional que justifique la prosecución del proceso, por cuanto el actor no mantiene ya su propia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resulta procedente acceder a lo solicitado y tener por desistido al gobierno de la comunidad foral de Navarra en la prosecución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Gobierno de Navarra, en el recurso de inconstitucionalidad núm. 4541-2010,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