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28 de octubre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4318-2018, promovido por doña Beatriz González Palomo, representada por el procurador de los tribunales don Jorge Deleito García y defendida por el letrado don David Macías González, contra el auto de 13 de julio de 2018 dictado por el Juzgado de Primera Instancia núm. 18 de Madrid en ejecución de títulos judiciales núm. 192-2017. Ha comparecido la procuradora de los tribunales doña Begoña López Cerezo, en nombre y representación de doña Asunción Somolinos Estebán y defendida por el letrado don Carlos Fuentes Varea. Ha intervenido el Ministerio Fiscal.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julio de 2018, el procurador de los tribunales don Jorge Deleito García, en nombre y representación de doña Beatriz González Palomo, interpuso recurso de amparo contra la resolución referida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Primera Instancia núm. 18 de Madrid se siguió el juicio verbal de desahucio 525-2013, como consecuencia de la demanda formulada el 15 de abril de 2013 por doña Asunción Somolinos Esteban, ante la falta de pago de las rentas pactadas en el contrato de arrendamiento de local de negocio, firmado el 1 de diciembre de 2010, siendo la arrendataria la hoy demandante de amparo. La demanda se acompañaba, entre otros documentos, por un burofax remitido por la arrendadora a la arrendataria el 20 de marzo de 2013, y remitido al domicilio de la misma sito en c/ Elba 23, 3° B. En dicho procedimiento, se intentó citar a la demandada en el propio local objeto del arrendamiento, que era el domicilio señalado en el contrato de arrendamiento, el día 23 de mayo de 2013, con resultado negativo, haciendo constar el funcionario encargado que el local llevaba desde el mes de septiembre anterior cerrado. Tras este intento frustrado de citación, el juzgado acordó, por diligencia de ordenación de 27 de mayo de 2013, la realización de la notificación y emplazamiento de la demandada por medio de edictos, al no ser posible su citación en el domicilio que figuraba en el contrato, el del local arrendado. El procedimiento terminó acordando el desahucio de la inquilina, que, además, debía satisfacer las rentas 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dar efectividad a dicha resolución, por la demandante se inició un procedimiento de ejecución de títulos judiciales, que se tramitó ante el mismo órgano con el núm. 192-2017, circunscrito a la pretensión dineraria; procedimiento en el que se dictó auto el 27 de junio de 2017, disponiendo la orden de ejecución dineraria por importe de 8.134,20 € de principal; en igual fecha se dictó decreto para dar efectividad a dicha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resoluciones se intentaron notificar en el local objeto de arrendamiento, con resultado negativo, hecho constar en la diligencia de 25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procedió a la averiguación patrimonial de la demandada; en esta búsqueda, la información dispensada por diversos organismos (Dirección General de Tráfico, Agencia Estatal de la Administración Tributaria, SEPE [Servicio público de empleo estatal] y Dirección General de la Policía) incluye como domicilios de la ejecutada el de la calle Elba, 23, 3 D, Madrid y otro en la calle Antonio Columela núm. 23, 9 C también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demandada Sra. González Palomo se personó el 5 de febrero de 2018 y formuló incidente excepcional de nulidad de actuaciones, que proyectó tanto sobre la ejecución en curso como sobre el precedente juicio verbal de desahucio, por vulneración del art. 24.1 CE con causa última en la falta de notificación y citación en forma del mencionado proceso. Precisaba que su domicilio constaba en el documento contractual y al que sí le fue remitido por la arrendadora un burofax con anterioridad, y que fue contestado, en primer lugar, mediante otro burofax de fecha 20 de marzo de 2013 en el que exponía los motivos del desacuerdo (pacto entre las partes); ante la falta de contestación por la arrendadora, remitió un nuevo burofax el 24 de junio de 2013, que le fue entregado a su destinataria el día siguiente, 25 de junio, y mediante el que anunciaba la entrega o puesta a disposición del local el 30 de junio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Añadía la demandada que la arrendadora se había conducido de mala fe y que el órgano judicial prescindió de todo intento de averiguación domiciliaria en los términos requeridos por el art. 156 de la Ley de enjuiciamiento civil (LEC), además de incumplir la específica doctrina recogida, entre otras, en las SSTC 90/2010, de 15 de noviembre; 181/2015, de 7 de septiembre, y 30/2014, de 24 de febrero, que expresamente invocaba.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subsidiario, formuló oposición, tanto por motivos formales (nulidad del despacho de ejecución dado que el decreto de 12 de junio de 2013 no contiene pronunciamiento de condena dineraria y su aclaración por nuevo decreto de 23 de enero de 2017 resulta claramente extemporánea) como de fondo (inexistencia de deuda por acuerdo entre las parte alcanzado antes de la interposición de la demanda y pluspetición ex art. 558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incidente de nulidad fue resuelto por Auto de 13 de julio de 2018 en sentido desestimatorio; en el fundamento jurídico 2 se expresa el razonamiento ad hoc de la decisión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nulidad de actuaciones han de ser desestimados, pues el emplazamiento y notificación se han practicado de forma correcta, cumpliendo la legalidad, en el domicilio señalado para notificaciones por la parte ejecutada, no produciéndose vulneración de norma que implique indefensión, de conformidad con el artículo 214 y concordantes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alegación de un pacto o acuerdo entre las partes por reducir la deuda es extemporánea y en todo caso no ha sido probada.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en cuanto a la nulidad del decreto de fecha 12 de junio de 2017, este decreto ya establece que la cantidad reclamada es 8.134,20 € de principal, por lo que no hay ninguna infracción en esta resolución ni en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inembargabilidad alegada, ha de hacerse constar que se embarga el saldo de una cuenta corriente, sin que el ejecutado haya acreditado el origen de los ingresos de dicha cuenta, sin que conste, por otro lado, su carácter inembargable”.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alega indefensión, pues entiende que se le ha impedido el acceso al procedimiento mediante la debida notificación, con infracción grave y patente del art. 156 LEC y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reproducción parcial de la STC 181/2015, afirma que el aspecto relativo a la necesidad de que el órgano judicial agote todas las posibilidades de averiguación del domicilio del demandado, así como que esté convencido de la imposibilidad de éxito de toda vía de comunicación antes de acudir a la comunicación edictal, deviene fundamental para la correcta constitución de la relación jurídico procesal y para garantizar el derecho de defensa reconocido en el artículo 24 CE, que implica la posibilidad de un juicio contradictorio en el que las partes puedan hacer valer sus derechos 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indefensión alegada, concluye, constituye vulneración del artículo 24.1 CE en su vertiente de tutela judicial efectiva, y por ende, debe declararse la nulidad de todo lo actuado, con retroacción de actuaciones al momento de la admisión a trámite de la demanda de desahucio y emplazamiento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marzo de 2019, la Sección Primera de este Tribunal admitió a trámite el recurso de amparo, al apreciar que concurre en el mismo especial trascendencia constitucional, como consecuencia de que el órgano judicial pudiera haber incurrido en una infracción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de la Ley Orgánica del Tribunal Constitucional (LOTC), se acordó dirigir atenta comunicación al Juzgado de Primera Instancia núm. 18 de Madrid a fin de que, en plazo que no excediera de diez días, remitiera certificación o fotocopia adverada de las actuaciones correspondientes al procedimiento de ejecución de títulos judiciales núm. 192-2017, así como del juicio verbal de desahucio 525-2013 del que dimana. Se acordó también el emplazamiento por término de diez días de quienes de quienes hubieran sido parte en el procedimiento, a efectos de poder comparecer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10 de julio de 2019, se tiene por personada y parte a la procuradora doña Begoña López Cerezo, en nombre y representación de doña Asunción Somolinos Esteban. Asimismo, a tenor de lo dispuesto en el art. 52 LOTC, se da vista de todas las actuaciones del presente recurso de amparo, en la Secretaría de la Sala Primera, por un plazo común de veinte días, al ministerio fiscal y a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presentó sus alegaciones el 29 de julio de 2019, en las que, abundando en los argumentos de la demanda, insiste en que el caso que nos ocupa es idéntico en sus términos al resuelto por la STC 181/2015 y en ella el Tribunal decretó la nulidad de actuaciones con retroacción de todo lo actuado al momento de la interposición y notificación de la demanda. Señala que el caso es idéntico porque la parte actora conocía otros domicilios suyos (que constan expresamente en el contrato) y también conocía su teléfono y su correo electrónico por lo que pudo haberse intentado al menos la notificación por medios telemáticos, con intervención del letrado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así que el órgano judicial no agotó todos los medios que tenía a su alcance para llevar a cabo una notificación personal, incumpliendo de este modo la diligencia que le era debida y exigible desde la perspectiva del derecho a la tutela judicial efectiva sin indefensión para asegurar debidamente el emplazamiento de la demandada y su presencia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6 de septiembre de 2019 se registraron las alegaciones del ministerio fiscal en las que interesa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brevemente los antecedentes, el ministerio fiscal fija en primer lugar los límites en que debe moverse la resolución de este recurso de amparo. Así, señala que la recurrente dirige, formalmente, sus alegaciones contra el auto de 13 de julio de 2018 del Juzgado de Primera Instancia núm. 18 de Madrid, dictado en el procedimiento ejecutivo 192-2017, al entender que el mismo, al resolver el incidente de nulidad, vulnera su derecho a la tutela judicial efectiva del artículo 24.1 CE, toda vez que se desconoce por el juzgador la doctrina del Tribunal Constitucional en materia de notificaciones, acudiendo a la vía edictal sin agotar las posibilidades de citación personal; sin embargo, en realidad la vulneración que denuncia no se la imputa a ese auto denegatorio de la nulidad, que se dictó en el citado procedimiento de ejecución, sino al procedimiento de desahucio anterior, el 525-2013, desarrollado ante el mismo órgano judicial, ya que la decisión de acudir a los edictos es previa y anterior en el proceso. La vulneración se imputa a la totalidad de las actuaciones judiciales acordadas en el procedimiento de desahucio 525-2013, desde que se decide por el juez la imposibilidad de citar personalmente al demandado y la necesidad de acudir a la citación por edictos. Por ello, señala, en coherencia con este razonamiento, en el petitum de la demanda se interesa, además del restablecimiento del derecho, que se acuerde la nulidad de lo actuado desde ese momento y se proceda por el juzgado a citar al recurrente personalmente.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ministerio fiscal que la doctrina del Tribunal Constitucional en esta materia está muy consolidada, partiendo de que es esencial a la tutela judicial efectiva que los llamados a ser parte en el procedimiento tengan conciencia de la existencia del mismo, única manera de que puedan intervenir en él y ejercer de forma efectiva sus derechos. Así, señala que el Tribunal Constitucional exige al órgano judicial que se agoten las posibilidades de citación directa antes de acudir a la menos segura de los edictos. Este deber especial del órgano judicial nace de que lo que está en juego, precisamente, el más elemental de los derechos del ciudadano ante la justicia, el de acceder al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el fundamento jurídico 3 de la STC 89/2015, el fiscal traslada al caso concreto esa doctrina y llega a la conclusión de que el órgano judicial nada hizo, de las variadas posibilidades que tenía, para conocer la verdadera ubicación de la demandada. Así, tras un solo intento de notificación, inmediatamente acudió a la vía de los edictos, sin haber hecho uso de la dirección que se puso a su disposición, ni de acudir a otras vías que posibilitaran el agotamiento de sus obligaciones, porque podría haber acudido a organismos públicos como la Agencia Tributaria o la Seguridad Social para que informaran si esa persona tenía algún otro domicilio en España, e incluso podría haberse auxiliado de las fuerzas y cuerpos de seguridad, y no lo hizo, menoscabando los derechos del recurrente. Pues lo determinante, según la jurisprudencia constitucional, para la merma de la tutela judicial efectiva, es la actitud del órgano judicial, ya que lo que se trata de garantizar es que los poderes del Estado, en este caso los órganos judiciales, no sólo no impidan, sino que faciliten al ciudadano el uso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Basándose igualmente en la doctrina constitucional, el fiscal recuerda que la indefensión causada por la falta de emplazamiento personal ha de ser no solo formal sino también material, para alcanzar relevancia desde la perspectiva del art. 24.1 CE. En el presente caso, a su juicio, no hay ninguna razón para excluir la vulneración del derecho denunciado por la propia actitud de la demandada hoy recurrente en amparo, pues no consta en absoluto que hubiera tenido un conocimiento extraprocesal de la demanda; al contrario, parece acreditado que, tan pronto como conoció la pendencia, se dirigió al órgano judicial intentando subsanar el déficit denunciado y solicitando que se la restableciera en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señalado, el fiscal llega a la conclusión de que el órgano judicial no cumplió con las exigencias derivadas de la doctrina del Tribunal Constitucional, que concibe el emplazamiento edictal como último remedio, subsidiario respecto a la citación personal, y que, por el contrario, actuó con palmario automatismo, sin realizar ninguna actividad propia de averiguación del domicilio real de la ejecutada. Más aún: una vez denunciada ante él la posible vulneración de los derechos, rechazó declarar la nulidad de lo actuado. Con su actuación, el órgano judicial impidió a la ejecutada acceder al proceso y ejercer en el mismo las actuaciones que le correspondían.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lo acordado por el Tribunal en otros casos precedentes (STC 122/2013, FJ 6), considera, en fin, que el Tribunal debe en este caso acordar la nulidad de lo actuado en el procedimiento de desahucio, y la retroacción de las actuaciones al momento anterior al requerimiento para contestar a la demanda, con el fin de que se le comunique a la recurrente lo allí acordado, en legal forma, dándole la posibilidad de ejercer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octubre de 2019 se señaló para deliberación y votación de la presente sentencia el día 28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13 de julio de 2018 del Juzgado de Primera Instancia núm. 18 de Madrid, dictado en el procedimiento ejecutivo 192-2017, por el que se desestimó el incidente de nulidad de actuaciones planteado por la propia recurrente en el proceso de desahucio por falta de pago núm. 525-2013.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imputa a la resolución recurrida la vulneración del derecho fundamental a la tutela judicial efectiva sin indefensión (art. 24.1 CE), al haberse practicado el emplazamiento edictal sin haber agotado las posibilidades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por entender que concurre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de amparo, como ya se indicó en la providencia de admisión, tiene especial transcendencia constitucional, como consecuencia de 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hizo cita expresa en su incidente de nulidad de actuaciones de la doctrina constitucional mantenida en las SSTC 90/2010, de 15 de noviembre, 181/2015, de 7 de septiembre, y 30/2014, de 24 de febrero, sobre la relevancia que, desde la perspectiva del artículo 24.1 CE, tienen las notificaciones edictales y la obligación judicial [incluso ante la literalidad de la previsión del artículo 686.3 de la Ley de enjuiciamiento civil (LEC), en su redacción dada por la Ley 13/2009, de 3 de noviembre] de practicar las razonables diligencias de averiguación de domicilio antes de acudir a ese modo de citación. A pesar de ello, el órgano judicial dio una respuesta a esta concreta y precisa invocación del artículo 24.1 CE, eludiendo cualquier consideración sobre su dimensión constitucional, en el marco de un específico procedimiento de protección de derechos fundamentales, como es el incidente de nulidad de actuaciones del artículo 241 de la Ley Orgánica del Poder Judicial (LOPJ), lo que denota una voluntad implícita de no aplicar al caso la referida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con inicio en la STC 122/2013, de 20 de mayo, se ha pronunciado en reiteradas ocasiones sobre el problema constitucional que ha planteado desde la perspectiva del artículo 24.1 CE la redacción dada al artículo 686.3 LEC por la Ley 13/2009, de 3 de noviembre, de reforma de la legislación procesal para la implantación de la nueva oficina judicial, sobre la comunicación del procedimiento de ejecución hipotecaria en el caso de que sea negativa la notificación y el requerimiento de pago en el domicilio que consta en el registro de la propiedad y, más concretamente, sobre la necesidad de que el órgano judicial agote las posibilidades de averiguación del domicilio real antes de acudir a notificación por edictos (así, SSTC 131/2014, de 21 de julio; 137/2014, de 8 de septiembre; 89/2015, de 11 de mayo; 169/2014, 22 de octubre; 151/2016, de 19 de septiembre; 5/2017 y 6/2017, de 16 de enero; 106/2017, de 18 de septiembre; 137/2017, de 27 de noviembre, o 5/2018, de 22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todas estas sentencias, en relación con los juicios hipotecarios y la reforma llevada a cabo por la Ley 13/2009, de 3 de noviembre, se ha afirmado que la doctrina constitucional en materia de emplazamientos está muy consolidada y no puede verse interferida por la reforma operada por la Ley 19/2009, de 23 de noviembre, de medidas de fomento y agilización procesal del alquiler y de la eficiencia energética de los edificios. Esta doctrina se ha trasladado al ámbito del proceso de desahucio respecto del artículo 164 LEC (SSTC 30/2014, de 24 de febrero; 181/2015, de 7 de setiembre, y 137/2017, de 27 de noviembre). Así, como señala la STC 30/2014, de 24 de febrero, FJ 5, si bien es cierto que “la Ley 19/2009 reforma el art. 164 LEC relativo a la comunicación edictal como forma de comunicación procesal y añade a dicho precepto un segundo párrafo relativo a los desahucios en un arrendamiento por falta de pago de las rentas...”, es necesario realizar una interpretación secundum Constitutionem de dicho precepto, “integrando el contenido de la reforma con la doctrina de este Tribunal en cuanto a la subsidiariedad de la comunicación edictal, la cual tiene su fuente directa en el derecho de acceso al proceso del art. 24.1 CE, de manera que la comunicación edictal en todo procedimiento de desahucio sólo puede utilizarse cuando se hayan agotado los medios de averiguación del domicilio del deudor o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la jurisprudencia constitucional ha afirmado que (i)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(STC 122/2013, FJ 3), y que (ii) incluso cuando no conste ese domicilio en las actuaciones, habría que realizar otras gestiones en orden a la averiguación del domicilio real, siempre que ello no suponga exigir al órgano judicial una desmedida labor investigadora sobre la efectividad del acto de comunicación (entre otras, STC 131/2014, de 21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se ha expuesto con más detalle en los antecedentes, han quedado acreditados los siguientes extremos: (i) el órgano judicial intentó practicar la notificación del requerimiento previsto en el artículo 440.3 LEC (a efecto de que adopte alguna de las siguientes conductas: “desaloje el inmueble, pague al actor o, en caso de pretender la enervación, pague la totalidad de lo que deba o ponga a disposición de aquel en el tribunal o notarialmente el importe de las cantidades reclamadas en la demanda y el de las que adeude en el momento de dicho pago enervador del desahucio; o en otro caso comparezca ante éste y alegue sucintamente, formulando oposición, las razones por las que, a su entender, no debe, en todo o en parte, la cantidad reclamada o las circunstancias relativas a la procedencia de la enervación”) en el domicilio del local objeto de arrendamiento que constaba en la demanda; (ii) mediante diligencia de 23 de mayo de 2013, se constató el cierre del local y se dejó constancia de la información dispensada por la titular del negocio del local contiguo en el sentido de que “lleva cerrado el local 1 desde septiembre del año pasado y que por allí no ha visto a nadie”; y, (iii) tras esta constatación, el órgano judicial, por diligencia de ordenación de 27 de mayo de 2013, acordó la citación y notificación a la parte demandada por medio de edictos expuestos en el tablón de anuncios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jurisprudencia constitucional al presente caso implica que debe apreciarse la vulneración del artículo 24.1 CE, pues, como pone de manifiesto el ministerio fiscal en su escrito de alegaciones, el órgano judicial no desarrolló ninguna actividad de averiguación de un domicilio alternativo tras producirse un solo intento de notificación de la recurrente. Además, en la propia demanda constaba el domicilio real de la inquilina, conocido por la arrendadora. Con la demanda presentada el 15 de abril de 2013 se acompañaron una serie de documentos entre los que constan un burofax remitido por la arrendadora al domicilio de la inquilina en la calle Elba núm. 23 de Madrid, a través del cual se requería de pago a la destinataria, y que fue recepcionado el mismo día del envío por el esposo de la arrendataria, y la contestación de ésta a través de un despacho de abogados, también por burofax, en el que mostraba su disconformidad con el requerimiento alegando un pacto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órgano judicial hizo una interpretación y aplicación literal del citado artículo 164 LEC, que, como se ha puesto de manifiesto, había quedado ya reiteradamente desautorizada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precedentes permiten concluir que se ha producido la vulneración del derecho a la tutela judicial efectiva sin indefensión (art. 24.1 CE) que se denuncia en la demanda de amparo, al no haber agotado el órgano judicial que conocía del proceso de desahucio los medios de averiguación del domicilio real de la demandada antes de proceder a la comunicación por edictos, cuando además constaba identificado el domicilio de la recurrente en los documentos aportados con la demanda. En consecuencia, de conformidad con lo dispuesto en el artículo 55.1 de la Ley Orgánica del Tribunal Constitucional, procede otorgar el amparo que se solicita, declarando la nulidad del auto impugnado y retrotrayendo las actuaciones al momento inmediatamente anterior al de efectuar el requerimiento a que se refiere el artículo 440.3 LEC, a fin de que este se lleve a cabo en términos que resulten respetuosos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Beatriz González Palomo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del Juzgado de Primera Instancia núm. 18 de Madrid de 13 de julio de 2018, dictado en el procedimiento de desahucio núm. 525-2013.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efectuar el requerimiento a que se refiere el artículo 440.3 de la Ley de enjuiciamiento civil, a fin de que éste se lleve a cabo en términos que resulten respetuosos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