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150</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6022-2018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6022-2018, 6033-2018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recurso de amparo registrado con el número 6033-2018, al recurso de amparo registrado con el número 6022-2018. Dichos recursos seguirán así una misma tramitación hasta su resolución, también única, por esta Sala, desde el común estado procesal en que se hallan, 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15 de noviembre de 2018, la entidad Euroinversiones Inmobiliarias Costa Sur, S.L., representada por la procuradora de los tribunales doña Blanca Berriatua Horta y bajo la dirección del letrado don Marcelino Gilabert García, interpuso recurso de amparo contra los autos dictados por el Juzgado de Primera Instancia e Instrucción núm. 3 de Lorca en el procedimiento de ejecución hipotecaria núm. 90-2018 en fechas 3 y 28 de septiembre de 2018 por los que, respectivamente, se inadmite por extemporánea la oposición a la ejecución hipotecaria y se confirma esta última decisión al desestimarse el recurso de reposición interpuesto frente a ella. La presentación de dicho escrito dio lugar al recurso de amparo núm. 6022-2018, que fue admitido a trámite y cuyo conocimiento correspondió a la Sala Primera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16 de noviembre de 2018, la entidad Penrei Inversiones, S.L., representada por la procuradora de los tribunales doña Blanca Berriatua Horta y bajo la dirección de la letrada doña Anju Nirmala Benavent Rodríguez, interpuso recurso de amparo contra los autos dictados por el Juzgado de Primera Instancia e Instrucción núm. 3 de Lorca en el procedimiento de ejecución hipotecaria núm. 90-2018 en fechas 3 y 28 de septiembre de 2018 por los que, respectivamente, se inadmite por extemporánea la oposición a la ejecución hipotecaria y se confirma esta última decisión al desestimarse el recurso de reposición interpuesto frente a ella. La presentación de dicho escrito dio lugar al recurso de amparo núm. 6033-2018 que fue también admitido a trámite y cuyo conocimiento correspondió a la Sala Primera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Después de que los referidos recursos de amparo quedaron conclusos para sentencia, por diligencia de ordenación de 10 de octubre de 2019 se concedió audiencia al ministerio fiscal y a las partes por plazo común de diez días por si procediera su acumulación, de conformidad con el art. 83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escritos registrados el 23 de octubre de 2019, manifestó su conformidad a la acumulación. Las partes demandantes de amparo declararon su voluntad de dejar la decisión a criterio del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artículo 83 de la Ley Orgánica del Tribunal Constitucional (LOTC) permite a este Tribunal, de oficio o a instancia de parte y previa audiencia de los comparecidos,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y, por otro, que tal conexión sea relevante en relación con su tramitación y decisión unitarias o, lo que es lo mismo, que la referida conexión justifique la unidad de tramitación y decisión (AATC 417/2003, de 15 de diciembre, FJ 2; 5/2013, de 14 de enero, FJ único; 285/2013, de 16 de diciembre, FJ único, y 82/2016, de 25 de abril, FJ único,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se impugnan las mismas resoluciones judiciales procedentes de un mismo procedimiento de ejecución hipotecaria dirigido contra las entidades mercantiles ahora demandantes de amparo. Además, los recursos de amparo se encuentran en la misma fase procesal tras su admisión a trámite, y la queja, relativa a la vulneración de su derecho a la tutela judicial efectiva sin indefensión (art. 24.1 CE) en su vertiente de acceso al proceso, es común en su fundamento, tanto en los aspectos fácticos como en los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justifica, dada la conexión entre los recursos de amparo registrados con los números 6022-2018 y 6033-2018, la acumulación del recurso de amparo con número de registro más moderno al más antiguo para su resolución conjunta (art. 84.1 de la Ley de enjuiciamiento civil, en relación con el art. 80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recurso de amparo registrado con el número 6033-2018, al recurso de amparo registrado con el número 6022-2018. Dichos recursos seguirán así una misma tramitación hasta su resolución, también única, por esta Sala, desde el común estado procesal en que se hallan, 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