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3547-2019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353-2018,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junio de 2019, la entidad Euroinversiones Inmobiliarias Costa Sur, S.L., representada por la procuradora de los tribunales doña Blanca Berriatua Horta y bajo la dirección del letrado don Marcelino Gilabert García, interpuso recurso de amparo contra los autos dictados por el Juzgado de Primera Instancia e Instrucción núm. 5 de Lorca en el procedimiento de ejecución hipotecaria núm. 353-2018, en fechas 21 de septiembre de 2018 y 23 de abril de 2019, por los que, respectivamente, se inadmite por extemporánea la oposición a la ejecución hipotecaria formulada por la recurrente y se desestima el recurso de reposición interpuesto contra la primera de las resoluciones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del procedimiento de ejecución hipotecaria, al considerar que “la continuación de la ejecución derivada de los pronunciamiento judiciales que han sido objeto de impugnación, con la celebración de subasta y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26 de noviembre de 2019, la Sección Tercera de este Tribunal acordó admitir a trámite el recurso de amparo y, a su vez, dirigir comunicación al Juzgado de Primera Instancia e Instrucción núm. 5 de Lorca, a fin de que, en el plazo de diez días, remitiera certificación o fotocopia adverada de las actuaciones correspondientes a los autos de ejecución hipotecaria núm. 353-2018 y emplazara a quienes hubieran sido parte en el proceso del que trae causa el presente recurso de amparo, excepto a la parte recurrente en amparo, para que pudieran comparecer, si lo desean,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misma fecha, la referida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7 de diciembre de 2019, la parte demandante formuló sus alegaciones, en el cual reitera lo interesado en el otrosí de su demanda, con sustento en el ATC 287/2013, de 16 de diciembre, cuyo contenido parcialmente transcribe.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el 17 de diciembre del 2019. En síntesis, interesa que se acuerde la anotación preventiva de la demanda en el registro de la propiedad. Tras compendiar la doctrina constitucional relativa a la suspensión prevista en el art. 56 LOTC, sostiene que la solicitud de la medida de suspensión solo alude a la pérdida de finalidad del recurso, para el caso de que llegara a celebrarse la subasta, pero no ofrece ninguna razón que justifique esa pérdida de la finalidad a que se refiere. Además, el fiscal considera más eficaz la anotación preventiva de la demanda en el registro de la propiedad, medida mediante la cual se daría publicidad a terceros de la pendencia del recurso y se evitaría que un hipotético tercer adquirente del inmueble hipotecado quede especialmente protegido por su buena fe en la adquisición.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353-2018,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pues la medida idónea es la anotación preventiva de la demanda en el registro de la propiedad. La parte recurrente se limita a poner de manifiesto, genéricamente, que la eventual adjudicación a terceros puede hacer perder al recurso de amparo su finalidad, sin añadir indicación alguna sobre la situación y circunstancias de la entidad mercantil recurrente ni sobre las características, destino y estado posesorio del inmueble hipotecado.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 Esta misma ha sido la solución acogida recientemente, entre otros, en los AATC 2/2019, de 9 de enero, 88/2018, de 17 de septiembre, y 106/2017, de 17 de julio, así como en el ATC 85/2019, de 15 de julio, a propósito de otro procedimiento hipotecario seguido ante el Juzgado núm. 3 de Lorca, en el que se plantearon los mismos argumentos para solicitar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en su lugar,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353-2018,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